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DE5D4C">
        <w:rPr>
          <w:rFonts w:ascii="Arial" w:hAnsi="Arial" w:cs="Arial"/>
          <w:sz w:val="22"/>
          <w:szCs w:val="22"/>
        </w:rPr>
        <w:t>3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DE5D4C">
        <w:rPr>
          <w:rFonts w:ascii="Arial" w:hAnsi="Arial" w:cs="Arial"/>
          <w:b/>
        </w:rPr>
        <w:t>2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58682E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83329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84462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18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844623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18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FC4D94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1.848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EC1D34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756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EC1D34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1.065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84462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84462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591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3614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236146">
              <w:rPr>
                <w:rFonts w:ascii="Trebuchet MS" w:hAnsi="Trebuchet MS" w:cs="Arial"/>
                <w:b/>
                <w:sz w:val="20"/>
                <w:szCs w:val="20"/>
              </w:rPr>
              <w:t>dat</w:t>
            </w:r>
            <w:r w:rsidR="00514EE8" w:rsidRPr="00236146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proofErr w:type="gramEnd"/>
            <w:r w:rsidR="004C7770" w:rsidRPr="00236146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EC1D34">
              <w:rPr>
                <w:rFonts w:ascii="Trebuchet MS" w:hAnsi="Trebuchet MS" w:cs="Arial"/>
                <w:b/>
                <w:sz w:val="20"/>
                <w:szCs w:val="20"/>
              </w:rPr>
              <w:t xml:space="preserve">2 febbraio </w:t>
            </w:r>
            <w:r w:rsidR="007F5C0A" w:rsidRPr="00236146">
              <w:rPr>
                <w:rFonts w:ascii="Trebuchet MS" w:hAnsi="Trebuchet MS" w:cs="Arial"/>
                <w:b/>
                <w:sz w:val="20"/>
                <w:szCs w:val="20"/>
              </w:rPr>
              <w:t>2022</w:t>
            </w:r>
            <w:r w:rsidR="008E3D3E" w:rsidRPr="0023614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23614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129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31</w:t>
            </w:r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BE2C60">
              <w:rPr>
                <w:rFonts w:ascii="Trebuchet MS" w:hAnsi="Trebuchet MS" w:cs="Arial"/>
                <w:color w:val="000000"/>
                <w:sz w:val="60"/>
                <w:szCs w:val="60"/>
              </w:rPr>
              <w:t>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9440A6" w:rsidP="00844623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769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973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003714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 w:rsidRPr="00003714">
        <w:rPr>
          <w:rFonts w:ascii="Trebuchet MS" w:hAnsi="Trebuchet MS" w:cs="Arial"/>
          <w:b/>
          <w:color w:val="FF0000"/>
          <w:sz w:val="30"/>
          <w:szCs w:val="30"/>
          <w:u w:val="single"/>
        </w:rPr>
        <w:t>Per quanto riguarda Ferrara si fa presente che il numero di positività comunicato oggi ricomprende anche 900 casi circa che si sono registrati nei giorni scorsi e che non sono stati caricati per problemi di ordine tecnico. Si annuncia che anche il dato di domani conterrà altri 900 circa casi in più, per le stesse motivazio</w:t>
      </w:r>
      <w:r w:rsidR="00FC4D94">
        <w:rPr>
          <w:rFonts w:ascii="Trebuchet MS" w:hAnsi="Trebuchet MS" w:cs="Arial"/>
          <w:b/>
          <w:color w:val="FF0000"/>
          <w:sz w:val="30"/>
          <w:szCs w:val="30"/>
          <w:u w:val="single"/>
        </w:rPr>
        <w:t>ni. Ci si scusa per il disguido</w:t>
      </w:r>
      <w:r w:rsidRPr="00003714">
        <w:rPr>
          <w:rFonts w:ascii="Trebuchet MS" w:hAnsi="Trebuchet MS" w:cs="Arial"/>
          <w:b/>
          <w:color w:val="FF0000"/>
          <w:sz w:val="30"/>
          <w:szCs w:val="30"/>
          <w:u w:val="single"/>
        </w:rPr>
        <w:t>.</w:t>
      </w: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58682E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58682E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3E7FDB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E7FDB" w:rsidRPr="000029FB" w:rsidRDefault="003E7FDB" w:rsidP="003E7F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E7FDB" w:rsidRPr="000029FB" w:rsidRDefault="003E7FDB" w:rsidP="003E7F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7FDB" w:rsidRPr="000029FB" w:rsidRDefault="003E7FDB" w:rsidP="003E7F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E7FDB" w:rsidRPr="000029FB" w:rsidRDefault="003E7FDB" w:rsidP="003E7F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E7FDB" w:rsidRPr="000029FB" w:rsidRDefault="003E7FDB" w:rsidP="003E7F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E7FDB" w:rsidRPr="000029FB" w:rsidRDefault="003E7FDB" w:rsidP="003E7F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E7FDB" w:rsidRPr="000029FB" w:rsidRDefault="003E7FDB" w:rsidP="003E7F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58682E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58682E" w:rsidP="00B74E30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58682E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58682E" w:rsidP="003E7F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Ospedale </w:t>
            </w:r>
            <w:r w:rsidR="003E7FDB">
              <w:rPr>
                <w:rFonts w:ascii="Trebuchet MS" w:hAnsi="Trebuchet MS" w:cs="Arial"/>
                <w:sz w:val="22"/>
                <w:szCs w:val="22"/>
              </w:rPr>
              <w:t>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3E7FD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3E7FDB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4E43C1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E43C1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4E43C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E43C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873E4" w:rsidRPr="004E43C1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E43C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4E43C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1873E4" w:rsidRPr="004E43C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1873E4"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4E43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300A9D" w:rsidRPr="004E43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4</w:t>
            </w:r>
            <w:r w:rsidR="00300A9D" w:rsidRPr="004E43C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6</w:t>
            </w:r>
            <w:r w:rsidR="00300A9D" w:rsidRPr="00DE5D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5</w:t>
            </w:r>
            <w:r w:rsidR="0020622B" w:rsidRPr="00DE5D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12</w:t>
            </w:r>
            <w:r w:rsidR="0020622B" w:rsidRPr="00DE5D4C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DE5D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1873E4" w:rsidRPr="00DE5D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4</w:t>
            </w:r>
            <w:r w:rsidR="001873E4" w:rsidRPr="00DE5D4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4</w:t>
            </w:r>
            <w:r w:rsidR="000D07B8" w:rsidRPr="00DE5D4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DE5D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7</w:t>
            </w:r>
            <w:r w:rsidR="000D07B8" w:rsidRPr="00DE5D4C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0D07B8" w:rsidRPr="00DE5D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DE5D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3</w:t>
            </w:r>
            <w:r w:rsidR="000D07B8" w:rsidRPr="00DE5D4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E7FD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3E7FD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E7FDB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E7FD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85F86" w:rsidRPr="003E7FDB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  <w:r w:rsidR="003E7FDB" w:rsidRPr="003E7FDB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E7FDB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E7FDB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  <w:r w:rsidR="003E7FDB" w:rsidRPr="003E7FDB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E7FDB" w:rsidRDefault="003E7FD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E7FDB">
              <w:rPr>
                <w:rFonts w:ascii="Arial" w:hAnsi="Arial" w:cs="Arial"/>
                <w:b/>
                <w:color w:val="FF0000"/>
                <w:highlight w:val="lightGray"/>
              </w:rPr>
              <w:t>381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20622B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20622B" w:rsidRPr="00DE5D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DE5D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3</w:t>
            </w:r>
            <w:r w:rsidR="0020622B" w:rsidRPr="00DE5D4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DE5D4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B7184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1</w:t>
            </w:r>
            <w:r w:rsidR="00B71847" w:rsidRPr="00DE5D4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DE5D4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DE5D4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DE5D4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DE5D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DE5D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DE5D4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4E43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4E43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4E43C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E43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4E43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4E43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4E43C1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4E43C1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4E43C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E43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4E43C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4E43C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D3A8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20622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55</w:t>
            </w:r>
            <w:r w:rsidR="003E7FDB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20622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52</w:t>
            </w:r>
            <w:r w:rsidR="003E7FDB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</w:t>
            </w:r>
            <w:r w:rsidR="0020622B">
              <w:rPr>
                <w:rFonts w:ascii="Arial" w:hAnsi="Arial" w:cs="Arial"/>
                <w:b/>
                <w:color w:val="FFFFFF"/>
              </w:rPr>
              <w:t>07</w:t>
            </w:r>
            <w:r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20622B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47BD7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873E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58</w:t>
            </w:r>
            <w:r w:rsidR="003E7FD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59" w:type="dxa"/>
            <w:vAlign w:val="center"/>
          </w:tcPr>
          <w:p w:rsidR="003E6D7F" w:rsidRPr="008A0C32" w:rsidRDefault="003E7FD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550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3E7FD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133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2062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84462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84462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84462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84462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4462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4462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4462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4462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4462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4462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844623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844623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84462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84462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84462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7549A" w:rsidRDefault="00A76EA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714625"/>
            <wp:effectExtent l="0" t="0" r="9525" b="952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AE" w:rsidRDefault="00A76EA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443499" cy="4133850"/>
            <wp:effectExtent l="0" t="0" r="508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91" cy="41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E9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23614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979391" cy="6496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23" cy="649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EC1D34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EC1D34" w:rsidRPr="00A41046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C1D34" w:rsidRDefault="00EC1D34" w:rsidP="00EC1D34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EC1D34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FC4D94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1.848</w:t>
            </w:r>
          </w:p>
        </w:tc>
        <w:tc>
          <w:tcPr>
            <w:tcW w:w="1701" w:type="dxa"/>
            <w:vAlign w:val="bottom"/>
          </w:tcPr>
          <w:p w:rsidR="008C0E34" w:rsidRPr="004D67BA" w:rsidRDefault="00EC1D34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174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FC4D94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1.848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777F50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FC4D94">
        <w:rPr>
          <w:rFonts w:ascii="Trebuchet MS" w:hAnsi="Trebuchet MS" w:cs="Arial"/>
          <w:b/>
          <w:color w:val="FF0000"/>
          <w:sz w:val="22"/>
          <w:szCs w:val="22"/>
        </w:rPr>
        <w:t>1.848</w:t>
      </w:r>
      <w:r w:rsidR="00DE5D4C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77F50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BE00C1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A76EAE">
        <w:rPr>
          <w:rFonts w:ascii="Trebuchet MS" w:hAnsi="Trebuchet MS" w:cs="Arial"/>
          <w:b/>
          <w:color w:val="FF0000"/>
          <w:sz w:val="40"/>
          <w:szCs w:val="40"/>
          <w:u w:val="single"/>
        </w:rPr>
        <w:t>480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71.155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654A6B">
        <w:rPr>
          <w:rFonts w:ascii="Trebuchet MS" w:hAnsi="Trebuchet MS" w:cs="Arial"/>
          <w:b/>
          <w:color w:val="FF0000"/>
          <w:sz w:val="40"/>
          <w:szCs w:val="40"/>
          <w:u w:val="single"/>
        </w:rPr>
        <w:t>9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54</w:t>
      </w:r>
      <w:r w:rsidR="004E43C1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C1D34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C1D34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EC1D34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756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EC1D34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C1D34" w:rsidRPr="001142F4" w:rsidRDefault="00EC1D34" w:rsidP="00EC1D34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C1D34" w:rsidRDefault="00EC1D34" w:rsidP="00EC1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EC1D34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1.065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8446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1969</w:t>
            </w:r>
          </w:p>
        </w:tc>
      </w:tr>
      <w:tr w:rsidR="008446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1987</w:t>
            </w:r>
          </w:p>
        </w:tc>
      </w:tr>
      <w:tr w:rsidR="008446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1987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1985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MOLDAVIA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1990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MOLDAVIA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1990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2006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BARICELLA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1936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1950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1929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1943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1989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1941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ROMANIA</w:t>
            </w:r>
            <w:bookmarkStart w:id="0" w:name="_GoBack"/>
            <w:bookmarkEnd w:id="0"/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1975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1929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1959</w:t>
            </w:r>
          </w:p>
        </w:tc>
      </w:tr>
      <w:tr w:rsidR="0084462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Default="00844623" w:rsidP="008446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23" w:rsidRPr="00844623" w:rsidRDefault="00844623" w:rsidP="008446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446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1989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844623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20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35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84462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844623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844623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844623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591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>I dati ag</w:t>
      </w:r>
      <w:r w:rsidR="003776B3" w:rsidRPr="00236146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236146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236146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 2</w:t>
      </w:r>
      <w:r w:rsidR="007F5C0A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236146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febbraio </w:t>
      </w:r>
      <w:r w:rsidR="007F5C0A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2022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58682E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l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236146">
        <w:rPr>
          <w:rFonts w:ascii="Trebuchet MS" w:hAnsi="Trebuchet MS" w:cs="Arial"/>
          <w:b/>
          <w:color w:val="FF0000"/>
          <w:sz w:val="22"/>
          <w:szCs w:val="22"/>
          <w:u w:val="single"/>
        </w:rPr>
        <w:t>129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BE555B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AL 31</w:t>
      </w: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1B2D34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9440A6">
        <w:rPr>
          <w:rFonts w:ascii="Trebuchet MS" w:hAnsi="Trebuchet MS" w:cs="Arial"/>
          <w:b/>
          <w:color w:val="FF0000"/>
          <w:sz w:val="40"/>
          <w:szCs w:val="40"/>
          <w:u w:val="single"/>
        </w:rPr>
        <w:t>852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9440A6">
        <w:rPr>
          <w:rFonts w:ascii="Trebuchet MS" w:hAnsi="Trebuchet MS" w:cs="Arial"/>
          <w:b/>
          <w:color w:val="FF0000"/>
          <w:sz w:val="40"/>
          <w:szCs w:val="40"/>
        </w:rPr>
        <w:t>13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9440A6">
        <w:rPr>
          <w:rFonts w:ascii="Trebuchet MS" w:hAnsi="Trebuchet MS" w:cs="Arial"/>
          <w:b/>
          <w:color w:val="FF0000"/>
          <w:sz w:val="40"/>
          <w:szCs w:val="40"/>
        </w:rPr>
        <w:t>97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</w:t>
      </w:r>
      <w:r w:rsidR="009440A6">
        <w:rPr>
          <w:rFonts w:ascii="Trebuchet MS" w:hAnsi="Trebuchet MS" w:cs="Arial"/>
          <w:b/>
          <w:color w:val="FF0000"/>
          <w:sz w:val="40"/>
          <w:szCs w:val="40"/>
        </w:rPr>
        <w:t>342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9440A6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769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973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DOSI: 295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9440A6">
        <w:rPr>
          <w:rFonts w:ascii="Trebuchet MS" w:hAnsi="Trebuchet MS" w:cs="Arial"/>
          <w:b/>
          <w:color w:val="FF0000"/>
          <w:sz w:val="40"/>
          <w:szCs w:val="40"/>
        </w:rPr>
        <w:t>453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DOSI: 279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9440A6">
        <w:rPr>
          <w:rFonts w:ascii="Trebuchet MS" w:hAnsi="Trebuchet MS" w:cs="Arial"/>
          <w:b/>
          <w:color w:val="FF0000"/>
          <w:sz w:val="40"/>
          <w:szCs w:val="40"/>
        </w:rPr>
        <w:t>969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9440A6">
        <w:rPr>
          <w:rFonts w:ascii="Trebuchet MS" w:hAnsi="Trebuchet MS" w:cs="Arial"/>
          <w:b/>
          <w:color w:val="FF0000"/>
          <w:sz w:val="40"/>
          <w:szCs w:val="40"/>
        </w:rPr>
        <w:t>194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9440A6">
        <w:rPr>
          <w:rFonts w:ascii="Trebuchet MS" w:hAnsi="Trebuchet MS" w:cs="Arial"/>
          <w:b/>
          <w:color w:val="FF0000"/>
          <w:sz w:val="40"/>
          <w:szCs w:val="40"/>
        </w:rPr>
        <w:t>551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2E" w:rsidRDefault="0058682E">
      <w:r>
        <w:separator/>
      </w:r>
    </w:p>
  </w:endnote>
  <w:endnote w:type="continuationSeparator" w:id="0">
    <w:p w:rsidR="0058682E" w:rsidRDefault="0058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2E" w:rsidRDefault="0058682E">
      <w:r>
        <w:separator/>
      </w:r>
    </w:p>
  </w:footnote>
  <w:footnote w:type="continuationSeparator" w:id="0">
    <w:p w:rsidR="0058682E" w:rsidRDefault="0058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2E" w:rsidRPr="00F405CA" w:rsidRDefault="0058682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C683-419A-4CF3-B3F6-16CAE55B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16</Pages>
  <Words>1786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11953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8</cp:revision>
  <cp:lastPrinted>2022-02-02T13:55:00Z</cp:lastPrinted>
  <dcterms:created xsi:type="dcterms:W3CDTF">2022-02-03T07:27:00Z</dcterms:created>
  <dcterms:modified xsi:type="dcterms:W3CDTF">2022-02-03T13:39:00Z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