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38" w:rsidRDefault="001112AC">
      <w:pPr>
        <w:pStyle w:val="Corpotesto"/>
        <w:ind w:left="3083"/>
        <w:rPr>
          <w:rFonts w:ascii="Times New Roman"/>
          <w:b w:val="0"/>
          <w:sz w:val="20"/>
        </w:rPr>
      </w:pPr>
      <w:r>
        <w:rPr>
          <w:rFonts w:ascii="Times New Roman"/>
          <w:b w:val="0"/>
          <w:noProof/>
          <w:sz w:val="20"/>
          <w:lang w:val="it-IT" w:eastAsia="it-IT"/>
        </w:rPr>
        <w:drawing>
          <wp:inline distT="0" distB="0" distL="0" distR="0">
            <wp:extent cx="2921879" cy="3440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21879" cy="344043"/>
                    </a:xfrm>
                    <a:prstGeom prst="rect">
                      <a:avLst/>
                    </a:prstGeom>
                  </pic:spPr>
                </pic:pic>
              </a:graphicData>
            </a:graphic>
          </wp:inline>
        </w:drawing>
      </w:r>
    </w:p>
    <w:p w:rsidR="006B7138" w:rsidRDefault="001112AC">
      <w:pPr>
        <w:pStyle w:val="Titolo1"/>
        <w:spacing w:before="120"/>
        <w:ind w:left="1689"/>
      </w:pPr>
      <w:r>
        <w:t>ANALISI DELL'APPROPRIATEZZA PRESCRITTIVA E DELLE INTERAZIONI TRA FARMACI</w:t>
      </w:r>
    </w:p>
    <w:p w:rsidR="006B7138" w:rsidRDefault="006B7138"/>
    <w:p w:rsidR="006B7138" w:rsidRDefault="006B7138">
      <w:pPr>
        <w:spacing w:before="3"/>
        <w:rPr>
          <w:sz w:val="21"/>
        </w:rPr>
      </w:pPr>
    </w:p>
    <w:p w:rsidR="006B7138" w:rsidRDefault="001112AC">
      <w:pPr>
        <w:pStyle w:val="Corpotesto"/>
        <w:ind w:left="163"/>
      </w:pPr>
      <w:r>
        <w:t>ANAGRAFICA DEL PAZIENTE</w:t>
      </w:r>
    </w:p>
    <w:p w:rsidR="006B7138" w:rsidRDefault="006B7138">
      <w:pPr>
        <w:spacing w:before="8"/>
        <w:rPr>
          <w:b/>
        </w:rPr>
      </w:pPr>
    </w:p>
    <w:tbl>
      <w:tblPr>
        <w:tblStyle w:val="TableNormal"/>
        <w:tblW w:w="0" w:type="auto"/>
        <w:tblInd w:w="283" w:type="dxa"/>
        <w:tblLayout w:type="fixed"/>
        <w:tblLook w:val="01E0" w:firstRow="1" w:lastRow="1" w:firstColumn="1" w:lastColumn="1" w:noHBand="0" w:noVBand="0"/>
      </w:tblPr>
      <w:tblGrid>
        <w:gridCol w:w="1833"/>
        <w:gridCol w:w="2959"/>
        <w:gridCol w:w="2732"/>
        <w:gridCol w:w="2033"/>
      </w:tblGrid>
      <w:tr w:rsidR="006B7138">
        <w:trPr>
          <w:trHeight w:val="301"/>
        </w:trPr>
        <w:tc>
          <w:tcPr>
            <w:tcW w:w="1833" w:type="dxa"/>
          </w:tcPr>
          <w:p w:rsidR="006B7138" w:rsidRDefault="001112AC">
            <w:pPr>
              <w:pStyle w:val="TableParagraph"/>
              <w:spacing w:before="0"/>
              <w:ind w:left="50"/>
              <w:rPr>
                <w:b/>
                <w:sz w:val="17"/>
              </w:rPr>
            </w:pPr>
            <w:r>
              <w:rPr>
                <w:b/>
                <w:sz w:val="17"/>
              </w:rPr>
              <w:t>Cognome</w:t>
            </w:r>
          </w:p>
        </w:tc>
        <w:tc>
          <w:tcPr>
            <w:tcW w:w="2959" w:type="dxa"/>
          </w:tcPr>
          <w:p w:rsidR="006B7138" w:rsidRDefault="006B7138">
            <w:pPr>
              <w:pStyle w:val="TableParagraph"/>
              <w:spacing w:before="0"/>
              <w:ind w:left="201"/>
              <w:rPr>
                <w:sz w:val="17"/>
              </w:rPr>
            </w:pPr>
          </w:p>
        </w:tc>
        <w:tc>
          <w:tcPr>
            <w:tcW w:w="2732" w:type="dxa"/>
          </w:tcPr>
          <w:p w:rsidR="006B7138" w:rsidRDefault="001112AC">
            <w:pPr>
              <w:pStyle w:val="TableParagraph"/>
              <w:spacing w:before="0"/>
              <w:ind w:left="1210"/>
              <w:rPr>
                <w:b/>
                <w:sz w:val="17"/>
              </w:rPr>
            </w:pPr>
            <w:r>
              <w:rPr>
                <w:b/>
                <w:sz w:val="17"/>
              </w:rPr>
              <w:t>Nome</w:t>
            </w:r>
          </w:p>
        </w:tc>
        <w:tc>
          <w:tcPr>
            <w:tcW w:w="2033" w:type="dxa"/>
          </w:tcPr>
          <w:p w:rsidR="006B7138" w:rsidRDefault="001112AC">
            <w:pPr>
              <w:pStyle w:val="TableParagraph"/>
              <w:spacing w:before="0"/>
              <w:ind w:left="179"/>
              <w:rPr>
                <w:sz w:val="17"/>
              </w:rPr>
            </w:pPr>
            <w:r>
              <w:rPr>
                <w:sz w:val="17"/>
              </w:rPr>
              <w:t>FRANCESCA</w:t>
            </w:r>
          </w:p>
        </w:tc>
      </w:tr>
      <w:tr w:rsidR="006B7138">
        <w:trPr>
          <w:trHeight w:val="396"/>
        </w:trPr>
        <w:tc>
          <w:tcPr>
            <w:tcW w:w="1833" w:type="dxa"/>
          </w:tcPr>
          <w:p w:rsidR="006B7138" w:rsidRDefault="001112AC">
            <w:pPr>
              <w:pStyle w:val="TableParagraph"/>
              <w:spacing w:before="95"/>
              <w:ind w:left="50"/>
              <w:rPr>
                <w:b/>
                <w:sz w:val="17"/>
              </w:rPr>
            </w:pPr>
            <w:r>
              <w:rPr>
                <w:b/>
                <w:sz w:val="17"/>
              </w:rPr>
              <w:t>Data di Nascita</w:t>
            </w:r>
          </w:p>
        </w:tc>
        <w:tc>
          <w:tcPr>
            <w:tcW w:w="2959" w:type="dxa"/>
          </w:tcPr>
          <w:p w:rsidR="006B7138" w:rsidRDefault="001112AC">
            <w:pPr>
              <w:pStyle w:val="TableParagraph"/>
              <w:spacing w:before="95"/>
              <w:ind w:left="201"/>
              <w:rPr>
                <w:sz w:val="17"/>
              </w:rPr>
            </w:pPr>
            <w:r>
              <w:rPr>
                <w:sz w:val="17"/>
              </w:rPr>
              <w:t>03/06/1941</w:t>
            </w:r>
          </w:p>
        </w:tc>
        <w:tc>
          <w:tcPr>
            <w:tcW w:w="2732" w:type="dxa"/>
          </w:tcPr>
          <w:p w:rsidR="006B7138" w:rsidRDefault="001112AC">
            <w:pPr>
              <w:pStyle w:val="TableParagraph"/>
              <w:spacing w:before="95"/>
              <w:ind w:left="1210"/>
              <w:rPr>
                <w:b/>
                <w:sz w:val="17"/>
              </w:rPr>
            </w:pPr>
            <w:r>
              <w:rPr>
                <w:b/>
                <w:sz w:val="17"/>
              </w:rPr>
              <w:t>Sesso</w:t>
            </w:r>
          </w:p>
        </w:tc>
        <w:tc>
          <w:tcPr>
            <w:tcW w:w="2033" w:type="dxa"/>
          </w:tcPr>
          <w:p w:rsidR="006B7138" w:rsidRDefault="001112AC">
            <w:pPr>
              <w:pStyle w:val="TableParagraph"/>
              <w:spacing w:before="95"/>
              <w:ind w:left="179"/>
              <w:rPr>
                <w:sz w:val="17"/>
              </w:rPr>
            </w:pPr>
            <w:r>
              <w:rPr>
                <w:sz w:val="17"/>
              </w:rPr>
              <w:t>F</w:t>
            </w:r>
          </w:p>
        </w:tc>
      </w:tr>
      <w:tr w:rsidR="006B7138">
        <w:trPr>
          <w:trHeight w:val="301"/>
        </w:trPr>
        <w:tc>
          <w:tcPr>
            <w:tcW w:w="1833" w:type="dxa"/>
          </w:tcPr>
          <w:p w:rsidR="006B7138" w:rsidRDefault="001112AC">
            <w:pPr>
              <w:pStyle w:val="TableParagraph"/>
              <w:spacing w:before="95" w:line="187" w:lineRule="exact"/>
              <w:ind w:left="50"/>
              <w:rPr>
                <w:b/>
                <w:sz w:val="17"/>
              </w:rPr>
            </w:pPr>
            <w:r>
              <w:rPr>
                <w:b/>
                <w:sz w:val="17"/>
              </w:rPr>
              <w:t>Luogo di Nascita</w:t>
            </w:r>
          </w:p>
        </w:tc>
        <w:tc>
          <w:tcPr>
            <w:tcW w:w="2959" w:type="dxa"/>
          </w:tcPr>
          <w:p w:rsidR="006B7138" w:rsidRDefault="006B7138">
            <w:pPr>
              <w:pStyle w:val="TableParagraph"/>
              <w:spacing w:before="95" w:line="187" w:lineRule="exact"/>
              <w:ind w:left="201"/>
              <w:rPr>
                <w:sz w:val="17"/>
              </w:rPr>
            </w:pPr>
            <w:bookmarkStart w:id="0" w:name="_GoBack"/>
            <w:bookmarkEnd w:id="0"/>
          </w:p>
        </w:tc>
        <w:tc>
          <w:tcPr>
            <w:tcW w:w="2732" w:type="dxa"/>
          </w:tcPr>
          <w:p w:rsidR="006B7138" w:rsidRDefault="001112AC">
            <w:pPr>
              <w:pStyle w:val="TableParagraph"/>
              <w:spacing w:before="95" w:line="187" w:lineRule="exact"/>
              <w:ind w:left="1210"/>
              <w:rPr>
                <w:b/>
                <w:sz w:val="17"/>
              </w:rPr>
            </w:pPr>
            <w:r>
              <w:rPr>
                <w:b/>
                <w:sz w:val="17"/>
              </w:rPr>
              <w:t>Codice Fiscale</w:t>
            </w:r>
          </w:p>
        </w:tc>
        <w:tc>
          <w:tcPr>
            <w:tcW w:w="2033" w:type="dxa"/>
          </w:tcPr>
          <w:p w:rsidR="006B7138" w:rsidRDefault="006B7138">
            <w:pPr>
              <w:pStyle w:val="TableParagraph"/>
              <w:spacing w:before="95" w:line="187" w:lineRule="exact"/>
              <w:ind w:left="179"/>
              <w:rPr>
                <w:sz w:val="17"/>
              </w:rPr>
            </w:pPr>
          </w:p>
        </w:tc>
      </w:tr>
    </w:tbl>
    <w:p w:rsidR="006B7138" w:rsidRDefault="006B7138">
      <w:pPr>
        <w:rPr>
          <w:b/>
          <w:sz w:val="20"/>
        </w:rPr>
      </w:pPr>
    </w:p>
    <w:p w:rsidR="006B7138" w:rsidRDefault="006B7138">
      <w:pPr>
        <w:spacing w:before="7"/>
        <w:rPr>
          <w:b/>
          <w:sz w:val="16"/>
        </w:rPr>
      </w:pPr>
    </w:p>
    <w:p w:rsidR="006B7138" w:rsidRDefault="001112AC">
      <w:pPr>
        <w:pStyle w:val="Corpotesto"/>
        <w:ind w:left="163"/>
      </w:pPr>
      <w:r>
        <w:t>TERAPIA IN INGRESSO 30/09/2018</w:t>
      </w:r>
    </w:p>
    <w:p w:rsidR="006B7138" w:rsidRDefault="006B7138">
      <w:pPr>
        <w:spacing w:before="9" w:after="1"/>
        <w:rPr>
          <w:b/>
          <w:sz w:val="15"/>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6"/>
        <w:gridCol w:w="4252"/>
      </w:tblGrid>
      <w:tr w:rsidR="006B7138">
        <w:trPr>
          <w:trHeight w:val="381"/>
        </w:trPr>
        <w:tc>
          <w:tcPr>
            <w:tcW w:w="6236" w:type="dxa"/>
          </w:tcPr>
          <w:p w:rsidR="006B7138" w:rsidRDefault="001112AC">
            <w:pPr>
              <w:pStyle w:val="TableParagraph"/>
              <w:spacing w:before="71"/>
              <w:rPr>
                <w:b/>
                <w:sz w:val="17"/>
              </w:rPr>
            </w:pPr>
            <w:r>
              <w:rPr>
                <w:b/>
                <w:sz w:val="17"/>
              </w:rPr>
              <w:t>Specialità Farmaceutica</w:t>
            </w:r>
          </w:p>
        </w:tc>
        <w:tc>
          <w:tcPr>
            <w:tcW w:w="4252" w:type="dxa"/>
          </w:tcPr>
          <w:p w:rsidR="006B7138" w:rsidRDefault="001112AC">
            <w:pPr>
              <w:pStyle w:val="TableParagraph"/>
              <w:spacing w:before="71"/>
              <w:ind w:left="55"/>
              <w:rPr>
                <w:b/>
                <w:sz w:val="17"/>
              </w:rPr>
            </w:pPr>
            <w:r>
              <w:rPr>
                <w:b/>
                <w:sz w:val="17"/>
              </w:rPr>
              <w:t>Principio Attivo</w:t>
            </w:r>
          </w:p>
        </w:tc>
      </w:tr>
      <w:tr w:rsidR="006B7138">
        <w:trPr>
          <w:trHeight w:val="325"/>
        </w:trPr>
        <w:tc>
          <w:tcPr>
            <w:tcW w:w="6236" w:type="dxa"/>
          </w:tcPr>
          <w:p w:rsidR="006B7138" w:rsidRDefault="001112AC">
            <w:pPr>
              <w:pStyle w:val="TableParagraph"/>
              <w:spacing w:before="42"/>
              <w:rPr>
                <w:sz w:val="17"/>
              </w:rPr>
            </w:pPr>
            <w:r>
              <w:rPr>
                <w:sz w:val="17"/>
              </w:rPr>
              <w:t>ATORVASTATINA ALT*30CPR RIV 20</w:t>
            </w:r>
          </w:p>
        </w:tc>
        <w:tc>
          <w:tcPr>
            <w:tcW w:w="4252" w:type="dxa"/>
          </w:tcPr>
          <w:p w:rsidR="006B7138" w:rsidRDefault="001112AC">
            <w:pPr>
              <w:pStyle w:val="TableParagraph"/>
              <w:spacing w:before="42"/>
              <w:ind w:left="55"/>
              <w:rPr>
                <w:sz w:val="17"/>
              </w:rPr>
            </w:pPr>
            <w:r>
              <w:rPr>
                <w:sz w:val="17"/>
              </w:rPr>
              <w:t>Atorvastatina</w:t>
            </w:r>
          </w:p>
        </w:tc>
      </w:tr>
      <w:tr w:rsidR="006B7138">
        <w:trPr>
          <w:trHeight w:val="325"/>
        </w:trPr>
        <w:tc>
          <w:tcPr>
            <w:tcW w:w="6236" w:type="dxa"/>
          </w:tcPr>
          <w:p w:rsidR="006B7138" w:rsidRDefault="001112AC">
            <w:pPr>
              <w:pStyle w:val="TableParagraph"/>
              <w:spacing w:before="42"/>
              <w:rPr>
                <w:sz w:val="17"/>
              </w:rPr>
            </w:pPr>
            <w:r>
              <w:rPr>
                <w:sz w:val="17"/>
              </w:rPr>
              <w:t>COUMADIN*30CPR 5MG</w:t>
            </w:r>
          </w:p>
        </w:tc>
        <w:tc>
          <w:tcPr>
            <w:tcW w:w="4252" w:type="dxa"/>
          </w:tcPr>
          <w:p w:rsidR="006B7138" w:rsidRDefault="001112AC">
            <w:pPr>
              <w:pStyle w:val="TableParagraph"/>
              <w:spacing w:before="42"/>
              <w:ind w:left="55"/>
              <w:rPr>
                <w:sz w:val="17"/>
              </w:rPr>
            </w:pPr>
            <w:r>
              <w:rPr>
                <w:sz w:val="17"/>
              </w:rPr>
              <w:t>Warfarin</w:t>
            </w:r>
          </w:p>
        </w:tc>
      </w:tr>
      <w:tr w:rsidR="006B7138">
        <w:trPr>
          <w:trHeight w:val="325"/>
        </w:trPr>
        <w:tc>
          <w:tcPr>
            <w:tcW w:w="6236" w:type="dxa"/>
          </w:tcPr>
          <w:p w:rsidR="006B7138" w:rsidRDefault="001112AC">
            <w:pPr>
              <w:pStyle w:val="TableParagraph"/>
              <w:spacing w:before="42"/>
              <w:rPr>
                <w:sz w:val="17"/>
              </w:rPr>
            </w:pPr>
            <w:r>
              <w:rPr>
                <w:sz w:val="17"/>
              </w:rPr>
              <w:t>DERMATRANS*15CER 10MG/24H</w:t>
            </w:r>
          </w:p>
        </w:tc>
        <w:tc>
          <w:tcPr>
            <w:tcW w:w="4252" w:type="dxa"/>
          </w:tcPr>
          <w:p w:rsidR="006B7138" w:rsidRDefault="001112AC">
            <w:pPr>
              <w:pStyle w:val="TableParagraph"/>
              <w:spacing w:before="42"/>
              <w:ind w:left="55"/>
              <w:rPr>
                <w:sz w:val="17"/>
              </w:rPr>
            </w:pPr>
            <w:r>
              <w:rPr>
                <w:sz w:val="17"/>
              </w:rPr>
              <w:t>Nitroglicerina</w:t>
            </w:r>
          </w:p>
        </w:tc>
      </w:tr>
      <w:tr w:rsidR="006B7138">
        <w:trPr>
          <w:trHeight w:val="325"/>
        </w:trPr>
        <w:tc>
          <w:tcPr>
            <w:tcW w:w="6236" w:type="dxa"/>
          </w:tcPr>
          <w:p w:rsidR="006B7138" w:rsidRDefault="001112AC">
            <w:pPr>
              <w:pStyle w:val="TableParagraph"/>
              <w:spacing w:before="42"/>
              <w:rPr>
                <w:sz w:val="17"/>
              </w:rPr>
            </w:pPr>
            <w:r>
              <w:rPr>
                <w:sz w:val="17"/>
              </w:rPr>
              <w:t>EUTIROX*50CPR 100MCG</w:t>
            </w:r>
          </w:p>
        </w:tc>
        <w:tc>
          <w:tcPr>
            <w:tcW w:w="4252" w:type="dxa"/>
          </w:tcPr>
          <w:p w:rsidR="006B7138" w:rsidRDefault="001112AC">
            <w:pPr>
              <w:pStyle w:val="TableParagraph"/>
              <w:spacing w:before="42"/>
              <w:ind w:left="55"/>
              <w:rPr>
                <w:sz w:val="17"/>
              </w:rPr>
            </w:pPr>
            <w:r>
              <w:rPr>
                <w:sz w:val="17"/>
              </w:rPr>
              <w:t>Levotiroxina</w:t>
            </w:r>
          </w:p>
        </w:tc>
      </w:tr>
      <w:tr w:rsidR="006B7138">
        <w:trPr>
          <w:trHeight w:val="325"/>
        </w:trPr>
        <w:tc>
          <w:tcPr>
            <w:tcW w:w="6236" w:type="dxa"/>
          </w:tcPr>
          <w:p w:rsidR="006B7138" w:rsidRDefault="001112AC">
            <w:pPr>
              <w:pStyle w:val="TableParagraph"/>
              <w:spacing w:before="42"/>
              <w:rPr>
                <w:sz w:val="17"/>
              </w:rPr>
            </w:pPr>
            <w:r>
              <w:rPr>
                <w:sz w:val="17"/>
              </w:rPr>
              <w:t>GLIBOMET*40CPR RIV 400MG+2,5MG</w:t>
            </w:r>
          </w:p>
        </w:tc>
        <w:tc>
          <w:tcPr>
            <w:tcW w:w="4252" w:type="dxa"/>
          </w:tcPr>
          <w:p w:rsidR="006B7138" w:rsidRDefault="001112AC">
            <w:pPr>
              <w:pStyle w:val="TableParagraph"/>
              <w:spacing w:before="42"/>
              <w:ind w:left="55"/>
              <w:rPr>
                <w:sz w:val="17"/>
              </w:rPr>
            </w:pPr>
            <w:r>
              <w:rPr>
                <w:sz w:val="17"/>
              </w:rPr>
              <w:t>Metformina Cloridrato/Glibenclamide</w:t>
            </w:r>
          </w:p>
        </w:tc>
      </w:tr>
      <w:tr w:rsidR="006B7138">
        <w:trPr>
          <w:trHeight w:val="325"/>
        </w:trPr>
        <w:tc>
          <w:tcPr>
            <w:tcW w:w="6236" w:type="dxa"/>
          </w:tcPr>
          <w:p w:rsidR="006B7138" w:rsidRDefault="001112AC">
            <w:pPr>
              <w:pStyle w:val="TableParagraph"/>
              <w:spacing w:before="42"/>
              <w:rPr>
                <w:sz w:val="17"/>
              </w:rPr>
            </w:pPr>
            <w:r>
              <w:rPr>
                <w:sz w:val="17"/>
              </w:rPr>
              <w:t>KEPPRA*30CPR RIV 1000MG</w:t>
            </w:r>
          </w:p>
        </w:tc>
        <w:tc>
          <w:tcPr>
            <w:tcW w:w="4252" w:type="dxa"/>
          </w:tcPr>
          <w:p w:rsidR="006B7138" w:rsidRDefault="001112AC">
            <w:pPr>
              <w:pStyle w:val="TableParagraph"/>
              <w:spacing w:before="42"/>
              <w:ind w:left="55"/>
              <w:rPr>
                <w:sz w:val="17"/>
              </w:rPr>
            </w:pPr>
            <w:r>
              <w:rPr>
                <w:sz w:val="17"/>
              </w:rPr>
              <w:t>Levetiracetam</w:t>
            </w:r>
          </w:p>
        </w:tc>
      </w:tr>
      <w:tr w:rsidR="006B7138">
        <w:trPr>
          <w:trHeight w:val="325"/>
        </w:trPr>
        <w:tc>
          <w:tcPr>
            <w:tcW w:w="6236" w:type="dxa"/>
          </w:tcPr>
          <w:p w:rsidR="006B7138" w:rsidRDefault="001112AC">
            <w:pPr>
              <w:pStyle w:val="TableParagraph"/>
              <w:spacing w:before="42"/>
              <w:rPr>
                <w:sz w:val="17"/>
              </w:rPr>
            </w:pPr>
            <w:r>
              <w:rPr>
                <w:sz w:val="17"/>
              </w:rPr>
              <w:t>LAMICTAL*28CPR DISPERS 25MG</w:t>
            </w:r>
          </w:p>
        </w:tc>
        <w:tc>
          <w:tcPr>
            <w:tcW w:w="4252" w:type="dxa"/>
          </w:tcPr>
          <w:p w:rsidR="006B7138" w:rsidRDefault="001112AC">
            <w:pPr>
              <w:pStyle w:val="TableParagraph"/>
              <w:spacing w:before="42"/>
              <w:ind w:left="55"/>
              <w:rPr>
                <w:sz w:val="17"/>
              </w:rPr>
            </w:pPr>
            <w:r>
              <w:rPr>
                <w:sz w:val="17"/>
              </w:rPr>
              <w:t>Lamotrigina</w:t>
            </w:r>
          </w:p>
        </w:tc>
      </w:tr>
      <w:tr w:rsidR="006B7138">
        <w:trPr>
          <w:trHeight w:val="325"/>
        </w:trPr>
        <w:tc>
          <w:tcPr>
            <w:tcW w:w="6236" w:type="dxa"/>
          </w:tcPr>
          <w:p w:rsidR="006B7138" w:rsidRDefault="001112AC">
            <w:pPr>
              <w:pStyle w:val="TableParagraph"/>
              <w:spacing w:before="42"/>
              <w:rPr>
                <w:sz w:val="17"/>
              </w:rPr>
            </w:pPr>
            <w:r>
              <w:rPr>
                <w:sz w:val="17"/>
              </w:rPr>
              <w:t>LANTUS*SC 1FL 100U/ML 10ML</w:t>
            </w:r>
          </w:p>
        </w:tc>
        <w:tc>
          <w:tcPr>
            <w:tcW w:w="4252" w:type="dxa"/>
          </w:tcPr>
          <w:p w:rsidR="006B7138" w:rsidRDefault="001112AC">
            <w:pPr>
              <w:pStyle w:val="TableParagraph"/>
              <w:spacing w:before="42"/>
              <w:ind w:left="55"/>
              <w:rPr>
                <w:sz w:val="17"/>
              </w:rPr>
            </w:pPr>
            <w:r>
              <w:rPr>
                <w:sz w:val="17"/>
              </w:rPr>
              <w:t>Insulina</w:t>
            </w:r>
          </w:p>
        </w:tc>
      </w:tr>
      <w:tr w:rsidR="006B7138">
        <w:trPr>
          <w:trHeight w:val="325"/>
        </w:trPr>
        <w:tc>
          <w:tcPr>
            <w:tcW w:w="6236" w:type="dxa"/>
          </w:tcPr>
          <w:p w:rsidR="006B7138" w:rsidRDefault="001112AC">
            <w:pPr>
              <w:pStyle w:val="TableParagraph"/>
              <w:spacing w:before="42"/>
              <w:rPr>
                <w:sz w:val="17"/>
              </w:rPr>
            </w:pPr>
            <w:r>
              <w:rPr>
                <w:sz w:val="17"/>
              </w:rPr>
              <w:t>LASIX*30CPR 25MG</w:t>
            </w:r>
          </w:p>
        </w:tc>
        <w:tc>
          <w:tcPr>
            <w:tcW w:w="4252" w:type="dxa"/>
          </w:tcPr>
          <w:p w:rsidR="006B7138" w:rsidRDefault="001112AC">
            <w:pPr>
              <w:pStyle w:val="TableParagraph"/>
              <w:spacing w:before="42"/>
              <w:ind w:left="55"/>
              <w:rPr>
                <w:sz w:val="17"/>
              </w:rPr>
            </w:pPr>
            <w:r>
              <w:rPr>
                <w:sz w:val="17"/>
              </w:rPr>
              <w:t>Furosemide</w:t>
            </w:r>
          </w:p>
        </w:tc>
      </w:tr>
      <w:tr w:rsidR="006B7138">
        <w:trPr>
          <w:trHeight w:val="325"/>
        </w:trPr>
        <w:tc>
          <w:tcPr>
            <w:tcW w:w="6236" w:type="dxa"/>
          </w:tcPr>
          <w:p w:rsidR="006B7138" w:rsidRDefault="001112AC">
            <w:pPr>
              <w:pStyle w:val="TableParagraph"/>
              <w:spacing w:before="42"/>
              <w:rPr>
                <w:sz w:val="17"/>
              </w:rPr>
            </w:pPr>
            <w:r>
              <w:rPr>
                <w:sz w:val="17"/>
              </w:rPr>
              <w:t>NORVASC*14CPR 10MG</w:t>
            </w:r>
          </w:p>
        </w:tc>
        <w:tc>
          <w:tcPr>
            <w:tcW w:w="4252" w:type="dxa"/>
          </w:tcPr>
          <w:p w:rsidR="006B7138" w:rsidRDefault="001112AC">
            <w:pPr>
              <w:pStyle w:val="TableParagraph"/>
              <w:spacing w:before="42"/>
              <w:ind w:left="55"/>
              <w:rPr>
                <w:sz w:val="17"/>
              </w:rPr>
            </w:pPr>
            <w:r>
              <w:rPr>
                <w:sz w:val="17"/>
              </w:rPr>
              <w:t>Amlodipina</w:t>
            </w:r>
          </w:p>
        </w:tc>
      </w:tr>
      <w:tr w:rsidR="006B7138">
        <w:trPr>
          <w:trHeight w:val="325"/>
        </w:trPr>
        <w:tc>
          <w:tcPr>
            <w:tcW w:w="6236" w:type="dxa"/>
          </w:tcPr>
          <w:p w:rsidR="006B7138" w:rsidRDefault="001112AC">
            <w:pPr>
              <w:pStyle w:val="TableParagraph"/>
              <w:spacing w:before="42"/>
              <w:rPr>
                <w:sz w:val="17"/>
              </w:rPr>
            </w:pPr>
            <w:r>
              <w:rPr>
                <w:sz w:val="17"/>
              </w:rPr>
              <w:t>PANTOPRAZOLO ALMUS*14CPR 20MG</w:t>
            </w:r>
          </w:p>
        </w:tc>
        <w:tc>
          <w:tcPr>
            <w:tcW w:w="4252" w:type="dxa"/>
          </w:tcPr>
          <w:p w:rsidR="006B7138" w:rsidRDefault="001112AC">
            <w:pPr>
              <w:pStyle w:val="TableParagraph"/>
              <w:spacing w:before="42"/>
              <w:ind w:left="55"/>
              <w:rPr>
                <w:sz w:val="17"/>
              </w:rPr>
            </w:pPr>
            <w:r>
              <w:rPr>
                <w:sz w:val="17"/>
              </w:rPr>
              <w:t>Pantoprazolo</w:t>
            </w:r>
          </w:p>
        </w:tc>
      </w:tr>
      <w:tr w:rsidR="006B7138">
        <w:trPr>
          <w:trHeight w:val="325"/>
        </w:trPr>
        <w:tc>
          <w:tcPr>
            <w:tcW w:w="6236" w:type="dxa"/>
          </w:tcPr>
          <w:p w:rsidR="006B7138" w:rsidRDefault="001112AC">
            <w:pPr>
              <w:pStyle w:val="TableParagraph"/>
              <w:spacing w:before="42"/>
              <w:rPr>
                <w:sz w:val="17"/>
              </w:rPr>
            </w:pPr>
            <w:r>
              <w:rPr>
                <w:sz w:val="17"/>
              </w:rPr>
              <w:t>STILNOX*30CPR RIV 10MG</w:t>
            </w:r>
          </w:p>
        </w:tc>
        <w:tc>
          <w:tcPr>
            <w:tcW w:w="4252" w:type="dxa"/>
          </w:tcPr>
          <w:p w:rsidR="006B7138" w:rsidRDefault="001112AC">
            <w:pPr>
              <w:pStyle w:val="TableParagraph"/>
              <w:spacing w:before="42"/>
              <w:ind w:left="55"/>
              <w:rPr>
                <w:sz w:val="17"/>
              </w:rPr>
            </w:pPr>
            <w:r>
              <w:rPr>
                <w:sz w:val="17"/>
              </w:rPr>
              <w:t>Zolpidem</w:t>
            </w:r>
          </w:p>
        </w:tc>
      </w:tr>
      <w:tr w:rsidR="006B7138">
        <w:trPr>
          <w:trHeight w:val="325"/>
        </w:trPr>
        <w:tc>
          <w:tcPr>
            <w:tcW w:w="6236" w:type="dxa"/>
          </w:tcPr>
          <w:p w:rsidR="006B7138" w:rsidRDefault="001112AC">
            <w:pPr>
              <w:pStyle w:val="TableParagraph"/>
              <w:spacing w:before="42"/>
              <w:rPr>
                <w:sz w:val="17"/>
              </w:rPr>
            </w:pPr>
            <w:r>
              <w:rPr>
                <w:sz w:val="17"/>
              </w:rPr>
              <w:t>VALSARTAN DOC*28CPR RIV 320MG</w:t>
            </w:r>
          </w:p>
        </w:tc>
        <w:tc>
          <w:tcPr>
            <w:tcW w:w="4252" w:type="dxa"/>
          </w:tcPr>
          <w:p w:rsidR="006B7138" w:rsidRDefault="001112AC">
            <w:pPr>
              <w:pStyle w:val="TableParagraph"/>
              <w:spacing w:before="42"/>
              <w:ind w:left="55"/>
              <w:rPr>
                <w:sz w:val="17"/>
              </w:rPr>
            </w:pPr>
            <w:r>
              <w:rPr>
                <w:sz w:val="17"/>
              </w:rPr>
              <w:t>Valsartan</w:t>
            </w:r>
          </w:p>
        </w:tc>
      </w:tr>
      <w:tr w:rsidR="006B7138">
        <w:trPr>
          <w:trHeight w:val="325"/>
        </w:trPr>
        <w:tc>
          <w:tcPr>
            <w:tcW w:w="6236" w:type="dxa"/>
          </w:tcPr>
          <w:p w:rsidR="006B7138" w:rsidRDefault="001112AC">
            <w:pPr>
              <w:pStyle w:val="TableParagraph"/>
              <w:spacing w:before="42"/>
              <w:rPr>
                <w:sz w:val="17"/>
              </w:rPr>
            </w:pPr>
            <w:r>
              <w:rPr>
                <w:sz w:val="17"/>
              </w:rPr>
              <w:t>ZOLOFT*15CPR RIV 50MG</w:t>
            </w:r>
          </w:p>
        </w:tc>
        <w:tc>
          <w:tcPr>
            <w:tcW w:w="4252" w:type="dxa"/>
          </w:tcPr>
          <w:p w:rsidR="006B7138" w:rsidRDefault="001112AC">
            <w:pPr>
              <w:pStyle w:val="TableParagraph"/>
              <w:spacing w:before="42"/>
              <w:ind w:left="55"/>
              <w:rPr>
                <w:sz w:val="17"/>
              </w:rPr>
            </w:pPr>
            <w:r>
              <w:rPr>
                <w:sz w:val="17"/>
              </w:rPr>
              <w:t>Sertralina</w:t>
            </w:r>
          </w:p>
        </w:tc>
      </w:tr>
    </w:tbl>
    <w:p w:rsidR="006B7138" w:rsidRDefault="006B7138">
      <w:pPr>
        <w:rPr>
          <w:b/>
          <w:sz w:val="20"/>
        </w:rPr>
      </w:pPr>
    </w:p>
    <w:p w:rsidR="006B7138" w:rsidRDefault="006B7138">
      <w:pPr>
        <w:spacing w:before="3"/>
        <w:rPr>
          <w:b/>
          <w:sz w:val="16"/>
        </w:rPr>
      </w:pPr>
    </w:p>
    <w:p w:rsidR="006B7138" w:rsidRDefault="001112AC">
      <w:pPr>
        <w:pStyle w:val="Corpotesto"/>
        <w:spacing w:before="1"/>
        <w:ind w:left="163"/>
      </w:pPr>
      <w:r>
        <w:t>INTERAZIONI</w:t>
      </w:r>
    </w:p>
    <w:p w:rsidR="006B7138" w:rsidRDefault="006B7138">
      <w:pPr>
        <w:spacing w:after="1"/>
        <w:rPr>
          <w:b/>
          <w:sz w:val="11"/>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Lamotrigina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Sertralina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D (2)</w:t>
            </w:r>
          </w:p>
        </w:tc>
      </w:tr>
      <w:tr w:rsidR="006B7138">
        <w:trPr>
          <w:trHeight w:val="551"/>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tossicità da lamotrigina (senso di fatica, sedazione, confusione, deficit</w:t>
            </w:r>
          </w:p>
          <w:p w:rsidR="006B7138" w:rsidRDefault="001112AC">
            <w:pPr>
              <w:pStyle w:val="TableParagraph"/>
              <w:spacing w:before="77"/>
              <w:rPr>
                <w:sz w:val="17"/>
              </w:rPr>
            </w:pPr>
            <w:r>
              <w:rPr>
                <w:sz w:val="17"/>
              </w:rPr>
              <w:t>cognitivi)</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Inibizione della glucuronazione della lamotrigina</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Evitare la cosomministrazione</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rPr>
          <w:b/>
          <w:sz w:val="20"/>
        </w:rPr>
      </w:pPr>
    </w:p>
    <w:p w:rsidR="006B7138" w:rsidRDefault="006B7138">
      <w:pPr>
        <w:spacing w:before="8" w:after="1"/>
        <w:rPr>
          <w:b/>
          <w:sz w:val="11"/>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Furosemide</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Sertralina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D (4)</w:t>
            </w:r>
          </w:p>
        </w:tc>
      </w:tr>
      <w:tr w:rsidR="006B7138">
        <w:trPr>
          <w:trHeight w:val="551"/>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Grave iponatriemia; aumento del rischio di cardiotossicità (prolungamento dell'intervallo QT,</w:t>
            </w:r>
          </w:p>
          <w:p w:rsidR="006B7138" w:rsidRDefault="001112AC">
            <w:pPr>
              <w:pStyle w:val="TableParagraph"/>
              <w:spacing w:before="77"/>
              <w:rPr>
                <w:sz w:val="17"/>
              </w:rPr>
            </w:pPr>
            <w:r>
              <w:rPr>
                <w:sz w:val="17"/>
              </w:rPr>
              <w:t>torsione di punta, arresto cardiaco)</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Effetto additivo sull' iponatriemia e sul prolungamento dell'intervallo QT</w:t>
            </w:r>
          </w:p>
        </w:tc>
      </w:tr>
    </w:tbl>
    <w:p w:rsidR="006B7138" w:rsidRDefault="006B7138">
      <w:pPr>
        <w:rPr>
          <w:sz w:val="17"/>
        </w:rPr>
        <w:sectPr w:rsidR="006B7138">
          <w:footerReference w:type="default" r:id="rId8"/>
          <w:type w:val="continuous"/>
          <w:pgSz w:w="11910" w:h="16840"/>
          <w:pgMar w:top="440" w:right="280" w:bottom="680" w:left="460" w:header="720" w:footer="494" w:gutter="0"/>
          <w:pgNumType w:start="1"/>
          <w:cols w:space="720"/>
        </w:sectPr>
      </w:pPr>
    </w:p>
    <w:p w:rsidR="006B7138" w:rsidRDefault="006B7138">
      <w:pPr>
        <w:pStyle w:val="Corpotesto"/>
        <w:spacing w:before="5"/>
        <w:rPr>
          <w:rFonts w:ascii="Times New Roman"/>
          <w:b w:val="0"/>
          <w:sz w:val="28"/>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835"/>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La cosomministrazione dovrebbe essere evitata; in caso contrario può essere opportuno</w:t>
            </w:r>
          </w:p>
          <w:p w:rsidR="006B7138" w:rsidRDefault="001112AC">
            <w:pPr>
              <w:pStyle w:val="TableParagraph"/>
              <w:spacing w:before="3" w:line="280" w:lineRule="atLeast"/>
              <w:ind w:right="757"/>
              <w:rPr>
                <w:sz w:val="17"/>
              </w:rPr>
            </w:pPr>
            <w:r>
              <w:rPr>
                <w:sz w:val="17"/>
              </w:rPr>
              <w:t>effettuare controlli periodici sia dei livelli plasmatici di sodio che dell'elettrocardiogramma (soprattutto prima e durante le prime fasi di trattamento)</w:t>
            </w:r>
          </w:p>
        </w:tc>
      </w:tr>
      <w:tr w:rsidR="006B7138">
        <w:trPr>
          <w:trHeight w:val="111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1112AC">
            <w:pPr>
              <w:pStyle w:val="TableParagraph"/>
              <w:spacing w:line="328" w:lineRule="auto"/>
              <w:ind w:right="90"/>
              <w:rPr>
                <w:sz w:val="17"/>
              </w:rPr>
            </w:pPr>
            <w:r>
              <w:rPr>
                <w:sz w:val="17"/>
              </w:rPr>
              <w:t>Considerare la presenza di ulteriori fattori di rischio per il prolungamento dell'intervallo QT cardiaco, quali: età avanzata, elevati dosaggi di farmaco, sesso femminile, scompensi elettrolitici (bassi livelli ematici K, Ca, Mg), presenza di patologie cardiache (ipertrofia cardiaca, insufficienza</w:t>
            </w:r>
          </w:p>
          <w:p w:rsidR="006B7138" w:rsidRDefault="001112AC">
            <w:pPr>
              <w:pStyle w:val="TableParagraph"/>
              <w:spacing w:before="1"/>
              <w:rPr>
                <w:sz w:val="17"/>
              </w:rPr>
            </w:pPr>
            <w:r>
              <w:rPr>
                <w:sz w:val="17"/>
              </w:rPr>
              <w:t>cardiaca, cardiomiopatie, bradicardia, fibrillazione atriale) e sindrome congenita del QT lungo</w:t>
            </w:r>
          </w:p>
        </w:tc>
      </w:tr>
    </w:tbl>
    <w:p w:rsidR="006B7138" w:rsidRDefault="006B7138">
      <w:pPr>
        <w:pStyle w:val="Corpotesto"/>
        <w:rPr>
          <w:rFonts w:ascii="Times New Roman"/>
          <w:b w:val="0"/>
          <w:sz w:val="20"/>
        </w:rPr>
      </w:pPr>
    </w:p>
    <w:p w:rsidR="006B7138" w:rsidRDefault="006B7138">
      <w:pPr>
        <w:pStyle w:val="Corpotesto"/>
        <w:spacing w:before="5" w:after="1"/>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Warfarin</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Sertralina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C (4)</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emorragie intracraniche</w:t>
            </w:r>
          </w:p>
        </w:tc>
      </w:tr>
      <w:tr w:rsidR="006B7138">
        <w:trPr>
          <w:trHeight w:val="835"/>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Effetti emorragici additivi e inibizione del metabolismo del warfarin (mediato dal citocromo P450</w:t>
            </w:r>
          </w:p>
          <w:p w:rsidR="006B7138" w:rsidRDefault="001112AC">
            <w:pPr>
              <w:pStyle w:val="TableParagraph"/>
              <w:spacing w:before="4" w:line="280" w:lineRule="atLeast"/>
              <w:ind w:right="265"/>
              <w:rPr>
                <w:sz w:val="17"/>
              </w:rPr>
            </w:pPr>
            <w:r>
              <w:rPr>
                <w:sz w:val="17"/>
              </w:rPr>
              <w:t>dal 2C9 quello dell'isomero-S e 1A2, 2C19 e 3A4 quello dell'isomero-R) causata dalla sertralina (debole inibitore di 2C9)</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attentamente il tempo di protrombina e/o l'INR</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1112AC">
            <w:pPr>
              <w:pStyle w:val="TableParagraph"/>
              <w:rPr>
                <w:sz w:val="17"/>
              </w:rPr>
            </w:pPr>
            <w:r>
              <w:rPr>
                <w:sz w:val="17"/>
              </w:rPr>
              <w:t>La gravità dell'interazione assume rilevanza superiore nei soggetti anziani</w:t>
            </w:r>
          </w:p>
        </w:tc>
      </w:tr>
    </w:tbl>
    <w:p w:rsidR="006B7138" w:rsidRDefault="006B7138">
      <w:pPr>
        <w:pStyle w:val="Corpotesto"/>
        <w:rPr>
          <w:rFonts w:ascii="Times New Roman"/>
          <w:b w:val="0"/>
          <w:sz w:val="20"/>
        </w:rPr>
      </w:pPr>
    </w:p>
    <w:p w:rsidR="006B7138" w:rsidRDefault="006B7138">
      <w:pPr>
        <w:pStyle w:val="Corpotesto"/>
        <w:spacing w:before="6"/>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Metformina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Insulina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C (4)</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Rischio di grave ipoglicemia</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Effetti ipoglicemici additivi</w:t>
            </w:r>
          </w:p>
        </w:tc>
      </w:tr>
      <w:tr w:rsidR="006B7138">
        <w:trPr>
          <w:trHeight w:val="552"/>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Usare con cautela e monitorare la glicemia; l'aggiunta di insulina a metformina è maggiormente</w:t>
            </w:r>
          </w:p>
          <w:p w:rsidR="006B7138" w:rsidRDefault="001112AC">
            <w:pPr>
              <w:pStyle w:val="TableParagraph"/>
              <w:spacing w:before="77"/>
              <w:rPr>
                <w:sz w:val="17"/>
              </w:rPr>
            </w:pPr>
            <w:r>
              <w:rPr>
                <w:sz w:val="17"/>
              </w:rPr>
              <w:t>associata al rischio di grave ipoglicemia rispetto all'aggiunta di una sulfanilurea.</w:t>
            </w:r>
          </w:p>
        </w:tc>
      </w:tr>
      <w:tr w:rsidR="006B7138">
        <w:trPr>
          <w:trHeight w:val="551"/>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1112AC">
            <w:pPr>
              <w:pStyle w:val="TableParagraph"/>
              <w:rPr>
                <w:sz w:val="17"/>
              </w:rPr>
            </w:pPr>
            <w:r>
              <w:rPr>
                <w:sz w:val="17"/>
              </w:rPr>
              <w:t>Ulteriori fattori di rischio sono l'età avanzata (&gt; 65 anni) e la ridotta funzionalità renale (eGFR &lt;</w:t>
            </w:r>
          </w:p>
          <w:p w:rsidR="006B7138" w:rsidRDefault="001112AC">
            <w:pPr>
              <w:pStyle w:val="TableParagraph"/>
              <w:spacing w:before="77"/>
              <w:rPr>
                <w:sz w:val="17"/>
              </w:rPr>
            </w:pPr>
            <w:r>
              <w:rPr>
                <w:sz w:val="17"/>
              </w:rPr>
              <w:t>60 mL/min)</w:t>
            </w:r>
          </w:p>
        </w:tc>
      </w:tr>
    </w:tbl>
    <w:p w:rsidR="006B7138" w:rsidRDefault="006B7138">
      <w:pPr>
        <w:pStyle w:val="Corpotesto"/>
        <w:rPr>
          <w:rFonts w:ascii="Times New Roman"/>
          <w:b w:val="0"/>
          <w:sz w:val="20"/>
        </w:rPr>
      </w:pPr>
    </w:p>
    <w:p w:rsidR="006B7138" w:rsidRDefault="006B7138">
      <w:pPr>
        <w:pStyle w:val="Corpotesto"/>
        <w:spacing w:before="5" w:after="1"/>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Atorvastatina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Warfarin</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C (3)</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mioapatia e rabdomiolisi (dolori muscolari, rigidità o debolezza muscolare)</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Non noto, possibile aumento delle concentrazioni plasmatiche dell'atorvastatina</w:t>
            </w:r>
          </w:p>
        </w:tc>
      </w:tr>
      <w:tr w:rsidR="006B7138">
        <w:trPr>
          <w:trHeight w:val="551"/>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i livelli di CK e l'insorgenza di miopatia o rabdomiolisi (dolori muscolari, astenia,</w:t>
            </w:r>
          </w:p>
          <w:p w:rsidR="006B7138" w:rsidRDefault="001112AC">
            <w:pPr>
              <w:pStyle w:val="TableParagraph"/>
              <w:spacing w:before="77"/>
              <w:rPr>
                <w:sz w:val="17"/>
              </w:rPr>
            </w:pPr>
            <w:r>
              <w:rPr>
                <w:sz w:val="17"/>
              </w:rPr>
              <w:t>rigidità o debolezza muscolare)</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spacing w:before="9"/>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Atorvastatina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Amlodipina</w:t>
            </w:r>
          </w:p>
        </w:tc>
      </w:tr>
      <w:tr w:rsidR="006B7138">
        <w:trPr>
          <w:trHeight w:val="551"/>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C (3)</w:t>
            </w:r>
          </w:p>
        </w:tc>
      </w:tr>
      <w:tr w:rsidR="006B7138">
        <w:trPr>
          <w:trHeight w:val="551"/>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dell'esposizione alla statina e del rischio di miopatie o rabdomiolisi (dolori muscolari,</w:t>
            </w:r>
          </w:p>
          <w:p w:rsidR="006B7138" w:rsidRDefault="001112AC">
            <w:pPr>
              <w:pStyle w:val="TableParagraph"/>
              <w:spacing w:before="77"/>
              <w:rPr>
                <w:sz w:val="17"/>
              </w:rPr>
            </w:pPr>
            <w:r>
              <w:rPr>
                <w:sz w:val="17"/>
              </w:rPr>
              <w:t>rigidità muscolare, astenia)</w:t>
            </w:r>
          </w:p>
        </w:tc>
      </w:tr>
      <w:tr w:rsidR="006B7138">
        <w:trPr>
          <w:trHeight w:val="551"/>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Non noto; possibile l'inibizione competiva del metabolismo citocromo P450 3A4-dipendente dei</w:t>
            </w:r>
          </w:p>
          <w:p w:rsidR="006B7138" w:rsidRDefault="001112AC">
            <w:pPr>
              <w:pStyle w:val="TableParagraph"/>
              <w:spacing w:before="77"/>
              <w:rPr>
                <w:sz w:val="17"/>
              </w:rPr>
            </w:pPr>
            <w:r>
              <w:rPr>
                <w:sz w:val="17"/>
              </w:rPr>
              <w:t>due substrati</w:t>
            </w:r>
          </w:p>
        </w:tc>
      </w:tr>
      <w:tr w:rsidR="006B7138">
        <w:trPr>
          <w:trHeight w:val="551"/>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i sintomi di miopatia e rabdomiolisi e i livelli di creatinchinasi; sospendere</w:t>
            </w:r>
          </w:p>
          <w:p w:rsidR="006B7138" w:rsidRDefault="001112AC">
            <w:pPr>
              <w:pStyle w:val="TableParagraph"/>
              <w:spacing w:before="77"/>
              <w:rPr>
                <w:sz w:val="17"/>
              </w:rPr>
            </w:pPr>
            <w:r>
              <w:rPr>
                <w:sz w:val="17"/>
              </w:rPr>
              <w:t>prontamente la statina all'apparire dei primi sintomi muscolari</w:t>
            </w:r>
          </w:p>
        </w:tc>
      </w:tr>
    </w:tbl>
    <w:p w:rsidR="006B7138" w:rsidRDefault="006B7138">
      <w:pPr>
        <w:rPr>
          <w:sz w:val="17"/>
        </w:rPr>
        <w:sectPr w:rsidR="006B7138">
          <w:headerReference w:type="default" r:id="rId9"/>
          <w:pgSz w:w="11910" w:h="16840"/>
          <w:pgMar w:top="800" w:right="280" w:bottom="680" w:left="460" w:header="582" w:footer="494" w:gutter="0"/>
          <w:cols w:space="720"/>
        </w:sectPr>
      </w:pPr>
    </w:p>
    <w:p w:rsidR="006B7138" w:rsidRDefault="006B7138">
      <w:pPr>
        <w:pStyle w:val="Corpotesto"/>
        <w:spacing w:before="5"/>
        <w:rPr>
          <w:rFonts w:ascii="Times New Roman"/>
          <w:b w:val="0"/>
          <w:sz w:val="28"/>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rPr>
          <w:rFonts w:ascii="Times New Roman"/>
          <w:b w:val="0"/>
          <w:sz w:val="20"/>
        </w:rPr>
      </w:pPr>
    </w:p>
    <w:p w:rsidR="006B7138" w:rsidRDefault="006B7138">
      <w:pPr>
        <w:pStyle w:val="Corpotesto"/>
        <w:spacing w:before="5" w:after="1"/>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Zolpidem</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Sertralina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551"/>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Deficit psicomotori (riduzione dei tempi di reazione e dello stato di vigilanza); aumento del</w:t>
            </w:r>
          </w:p>
          <w:p w:rsidR="006B7138" w:rsidRDefault="001112AC">
            <w:pPr>
              <w:pStyle w:val="TableParagraph"/>
              <w:spacing w:before="77"/>
              <w:rPr>
                <w:sz w:val="17"/>
              </w:rPr>
            </w:pPr>
            <w:r>
              <w:rPr>
                <w:sz w:val="17"/>
              </w:rPr>
              <w:t>rischio di cadute negli anziani</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Deficit psicomotori additivi</w:t>
            </w:r>
          </w:p>
        </w:tc>
      </w:tr>
      <w:tr w:rsidR="006B7138">
        <w:trPr>
          <w:trHeight w:val="552"/>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Informare il paziente del rischio di insorgenza dei sintomi psicomotori, specie se deve svolgere</w:t>
            </w:r>
          </w:p>
          <w:p w:rsidR="006B7138" w:rsidRDefault="001112AC">
            <w:pPr>
              <w:pStyle w:val="TableParagraph"/>
              <w:spacing w:before="77"/>
              <w:rPr>
                <w:sz w:val="17"/>
              </w:rPr>
            </w:pPr>
            <w:r>
              <w:rPr>
                <w:sz w:val="17"/>
              </w:rPr>
              <w:t>attività in cui è richiesta particolare attenzione</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rPr>
          <w:rFonts w:ascii="Times New Roman"/>
          <w:b w:val="0"/>
          <w:sz w:val="20"/>
        </w:rPr>
      </w:pPr>
    </w:p>
    <w:p w:rsidR="006B7138" w:rsidRDefault="006B7138">
      <w:pPr>
        <w:pStyle w:val="Corpotesto"/>
        <w:spacing w:before="6"/>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Warfarin</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Glibenclamide</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sanguinamenti</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Non noto</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il tempo di protrombina e/o l'INR</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spacing w:before="9"/>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Warfarin</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Levotiroxina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(4)</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Possibile potenzialmento dell'azione della warfarina ed aumento del rischio di sanguinamenti</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Aumento del metabolismo dei fattori della coagulazione vitamina K dipendenti</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i parametri della coagulazione e, se necessario, aggiustare il dosaggio dei 2 farmaci</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spacing w:before="9"/>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Warfarin</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Amlodipina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emorragie gastrointestinali con l'associazione per via orale</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Azione additiva</w:t>
            </w:r>
          </w:p>
        </w:tc>
      </w:tr>
      <w:tr w:rsidR="006B7138">
        <w:trPr>
          <w:trHeight w:val="551"/>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l'eventuale comparsa di sintomi di emorragia gastrointestinale (astenia, nausea,</w:t>
            </w:r>
          </w:p>
          <w:p w:rsidR="006B7138" w:rsidRDefault="001112AC">
            <w:pPr>
              <w:pStyle w:val="TableParagraph"/>
              <w:spacing w:before="77"/>
              <w:rPr>
                <w:sz w:val="17"/>
              </w:rPr>
            </w:pPr>
            <w:r>
              <w:rPr>
                <w:sz w:val="17"/>
              </w:rPr>
              <w:t>sangue nelle feci)</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spacing w:before="9"/>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Warfarin</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Pantoprazolo</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(4)</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sanguinamenti</w:t>
            </w:r>
          </w:p>
        </w:tc>
      </w:tr>
      <w:tr w:rsidR="006B7138">
        <w:trPr>
          <w:trHeight w:val="835"/>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Inibizione del metabolismo del warfarin (mediato dal citocromo P450 1A2, 2C19 e 3A4 quello</w:t>
            </w:r>
          </w:p>
          <w:p w:rsidR="006B7138" w:rsidRDefault="001112AC">
            <w:pPr>
              <w:pStyle w:val="TableParagraph"/>
              <w:spacing w:before="4" w:line="280" w:lineRule="atLeast"/>
              <w:ind w:right="523"/>
              <w:rPr>
                <w:sz w:val="17"/>
              </w:rPr>
            </w:pPr>
            <w:r>
              <w:rPr>
                <w:sz w:val="17"/>
              </w:rPr>
              <w:t>dell'isomero-R e dal 2C9 quello dell'isomero-S) causata dal pantoprazolo (debole inibitore di 2C19)</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il tempo di protrombina e/o l'INR</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rPr>
          <w:rFonts w:ascii="Times New Roman"/>
          <w:sz w:val="16"/>
        </w:rPr>
        <w:sectPr w:rsidR="006B7138">
          <w:pgSz w:w="11910" w:h="16840"/>
          <w:pgMar w:top="800" w:right="280" w:bottom="680" w:left="460" w:header="582" w:footer="494" w:gutter="0"/>
          <w:cols w:space="720"/>
        </w:sectPr>
      </w:pPr>
    </w:p>
    <w:p w:rsidR="006B7138" w:rsidRDefault="006B7138">
      <w:pPr>
        <w:pStyle w:val="Corpotesto"/>
        <w:spacing w:before="5"/>
        <w:rPr>
          <w:rFonts w:ascii="Times New Roman"/>
          <w:b w:val="0"/>
          <w:sz w:val="28"/>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Pantoprazolo</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Sertralina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552"/>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cardiotossicità (prolungamento dell'intervallo QT, torsione di punta,</w:t>
            </w:r>
          </w:p>
          <w:p w:rsidR="006B7138" w:rsidRDefault="001112AC">
            <w:pPr>
              <w:pStyle w:val="TableParagraph"/>
              <w:spacing w:before="77"/>
              <w:rPr>
                <w:sz w:val="17"/>
              </w:rPr>
            </w:pPr>
            <w:r>
              <w:rPr>
                <w:sz w:val="17"/>
              </w:rPr>
              <w:t>arresto cardiaco)</w:t>
            </w:r>
          </w:p>
        </w:tc>
      </w:tr>
      <w:tr w:rsidR="006B7138">
        <w:trPr>
          <w:trHeight w:val="551"/>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Tossicità cardiaca dovuta ad effetti diretti sull'intervallo QT associata ad alterazioni degli elettroliti</w:t>
            </w:r>
          </w:p>
          <w:p w:rsidR="006B7138" w:rsidRDefault="001112AC">
            <w:pPr>
              <w:pStyle w:val="TableParagraph"/>
              <w:spacing w:before="77"/>
              <w:rPr>
                <w:sz w:val="17"/>
              </w:rPr>
            </w:pPr>
            <w:r>
              <w:rPr>
                <w:sz w:val="17"/>
              </w:rPr>
              <w:t>(ipopotassiemia ed ipomagnesiemia) conseguenti all'utilizzo prolungato del PPI</w:t>
            </w:r>
          </w:p>
        </w:tc>
      </w:tr>
      <w:tr w:rsidR="006B7138">
        <w:trPr>
          <w:trHeight w:val="835"/>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spacing w:line="328" w:lineRule="auto"/>
              <w:ind w:right="190"/>
              <w:rPr>
                <w:sz w:val="17"/>
              </w:rPr>
            </w:pPr>
            <w:r>
              <w:rPr>
                <w:sz w:val="17"/>
              </w:rPr>
              <w:t>Se l'associazione non può essere evitata ed è richiesto un trattamento prolungato con il PPI può essere opportuno effettuare controlli periodici elettrocardiografici e il dosaggio degli elettroliti</w:t>
            </w:r>
          </w:p>
          <w:p w:rsidR="006B7138" w:rsidRDefault="001112AC">
            <w:pPr>
              <w:pStyle w:val="TableParagraph"/>
              <w:spacing w:before="1"/>
              <w:rPr>
                <w:sz w:val="17"/>
              </w:rPr>
            </w:pPr>
            <w:r>
              <w:rPr>
                <w:sz w:val="17"/>
              </w:rPr>
              <w:t>(magnesio, potassio e calcio) durante il periodo di trattamento</w:t>
            </w:r>
          </w:p>
        </w:tc>
      </w:tr>
      <w:tr w:rsidR="006B7138">
        <w:trPr>
          <w:trHeight w:val="111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1112AC">
            <w:pPr>
              <w:pStyle w:val="TableParagraph"/>
              <w:spacing w:line="328" w:lineRule="auto"/>
              <w:ind w:right="90"/>
              <w:rPr>
                <w:sz w:val="17"/>
              </w:rPr>
            </w:pPr>
            <w:r>
              <w:rPr>
                <w:sz w:val="17"/>
              </w:rPr>
              <w:t>Considerare la presenza di ulteriori fattori di rischio per il prolungamento dell'intervallo QT cardiaco, quali: età avanzata, elevati dosaggi di farmaco, sesso femminile, scompensi elettrolitici (bassi livelli ematici K, Ca, Mg), presenza di patologie cardiache (ipertrofia cardiaca, insufficienza</w:t>
            </w:r>
          </w:p>
          <w:p w:rsidR="006B7138" w:rsidRDefault="001112AC">
            <w:pPr>
              <w:pStyle w:val="TableParagraph"/>
              <w:spacing w:before="1"/>
              <w:rPr>
                <w:sz w:val="17"/>
              </w:rPr>
            </w:pPr>
            <w:r>
              <w:rPr>
                <w:sz w:val="17"/>
              </w:rPr>
              <w:t>cardiaca, cardiomiopatie, bradicardia, fibrillazione atriale) e sindrome congenita del QT lungo</w:t>
            </w:r>
          </w:p>
        </w:tc>
      </w:tr>
    </w:tbl>
    <w:p w:rsidR="006B7138" w:rsidRDefault="006B7138">
      <w:pPr>
        <w:pStyle w:val="Corpotesto"/>
        <w:rPr>
          <w:rFonts w:ascii="Times New Roman"/>
          <w:b w:val="0"/>
          <w:sz w:val="20"/>
        </w:rPr>
      </w:pPr>
    </w:p>
    <w:p w:rsidR="006B7138" w:rsidRDefault="006B7138">
      <w:pPr>
        <w:pStyle w:val="Corpotesto"/>
        <w:spacing w:before="6"/>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Levotiroxina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Pantoprazolo</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(4)</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dei livelli di TSH e possibile riduzione dell'efficacia terapeutica della levotiroxina</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Riduzione dell'assorbimento della levotiroxina</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la risposta terapeutica alla levotiroxina</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spacing w:before="9"/>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Levotiroxina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Glibenclamide</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Riduzione dell'efficacia della sulfanilurea</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Non noto</w:t>
            </w:r>
          </w:p>
        </w:tc>
      </w:tr>
      <w:tr w:rsidR="006B7138">
        <w:trPr>
          <w:trHeight w:val="551"/>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più attentamente la glicemia soprattutto all'inizio della terapia con ormoni tiroidei;</w:t>
            </w:r>
          </w:p>
          <w:p w:rsidR="006B7138" w:rsidRDefault="001112AC">
            <w:pPr>
              <w:pStyle w:val="TableParagraph"/>
              <w:spacing w:before="77"/>
              <w:rPr>
                <w:sz w:val="17"/>
              </w:rPr>
            </w:pPr>
            <w:r>
              <w:rPr>
                <w:sz w:val="17"/>
              </w:rPr>
              <w:t>potrebbe essere richiesto un aumento dei dosaggi di antidiabetico</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spacing w:before="9"/>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Levotiroxina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Metformina</w:t>
            </w:r>
          </w:p>
        </w:tc>
      </w:tr>
      <w:tr w:rsidR="006B7138">
        <w:trPr>
          <w:trHeight w:val="551"/>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delle richieste di antidiabetico orale</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Non noto</w:t>
            </w:r>
          </w:p>
        </w:tc>
      </w:tr>
      <w:tr w:rsidR="006B7138">
        <w:trPr>
          <w:trHeight w:val="551"/>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più attentamente la glicemia soprattutto all'inizio della terapia con ormoni tiroidei;</w:t>
            </w:r>
          </w:p>
          <w:p w:rsidR="006B7138" w:rsidRDefault="001112AC">
            <w:pPr>
              <w:pStyle w:val="TableParagraph"/>
              <w:spacing w:before="77"/>
              <w:rPr>
                <w:sz w:val="17"/>
              </w:rPr>
            </w:pPr>
            <w:r>
              <w:rPr>
                <w:sz w:val="17"/>
              </w:rPr>
              <w:t>potrebbe essere richiesto un aumento dei dosaggi di antidiabetico</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rPr>
          <w:rFonts w:ascii="Times New Roman"/>
          <w:b w:val="0"/>
          <w:sz w:val="20"/>
        </w:rPr>
      </w:pPr>
    </w:p>
    <w:p w:rsidR="006B7138" w:rsidRDefault="006B7138">
      <w:pPr>
        <w:pStyle w:val="Corpotesto"/>
        <w:spacing w:before="5" w:after="1"/>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Furosemide</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Pantoprazolo</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(2)</w:t>
            </w:r>
          </w:p>
        </w:tc>
      </w:tr>
      <w:tr w:rsidR="006B7138">
        <w:trPr>
          <w:trHeight w:val="551"/>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cardiotossicità (prolungamento dell'intervallo QT, torsione di punta,</w:t>
            </w:r>
          </w:p>
          <w:p w:rsidR="006B7138" w:rsidRDefault="001112AC">
            <w:pPr>
              <w:pStyle w:val="TableParagraph"/>
              <w:spacing w:before="77"/>
              <w:rPr>
                <w:sz w:val="17"/>
              </w:rPr>
            </w:pPr>
            <w:r>
              <w:rPr>
                <w:sz w:val="17"/>
              </w:rPr>
              <w:t>arresto cardiaco)</w:t>
            </w:r>
          </w:p>
        </w:tc>
      </w:tr>
    </w:tbl>
    <w:p w:rsidR="006B7138" w:rsidRDefault="006B7138">
      <w:pPr>
        <w:rPr>
          <w:sz w:val="17"/>
        </w:rPr>
        <w:sectPr w:rsidR="006B7138">
          <w:pgSz w:w="11910" w:h="16840"/>
          <w:pgMar w:top="800" w:right="280" w:bottom="680" w:left="460" w:header="582" w:footer="494" w:gutter="0"/>
          <w:cols w:space="720"/>
        </w:sectPr>
      </w:pPr>
    </w:p>
    <w:p w:rsidR="006B7138" w:rsidRDefault="006B7138">
      <w:pPr>
        <w:pStyle w:val="Corpotesto"/>
        <w:spacing w:before="5"/>
        <w:rPr>
          <w:rFonts w:ascii="Times New Roman"/>
          <w:b w:val="0"/>
          <w:sz w:val="28"/>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551"/>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Tossicità cardiaca dovuta ad effetti diretti sull'intervallo QT associata ad alterazioni degli elettroliti</w:t>
            </w:r>
          </w:p>
          <w:p w:rsidR="006B7138" w:rsidRDefault="001112AC">
            <w:pPr>
              <w:pStyle w:val="TableParagraph"/>
              <w:spacing w:before="77"/>
              <w:rPr>
                <w:sz w:val="17"/>
              </w:rPr>
            </w:pPr>
            <w:r>
              <w:rPr>
                <w:sz w:val="17"/>
              </w:rPr>
              <w:t>(ipopotassiemia ed ipomagnesiemia) conseguenti all'utilizzo prolungato del PPI</w:t>
            </w:r>
          </w:p>
        </w:tc>
      </w:tr>
      <w:tr w:rsidR="006B7138">
        <w:trPr>
          <w:trHeight w:val="835"/>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spacing w:line="328" w:lineRule="auto"/>
              <w:ind w:right="190"/>
              <w:rPr>
                <w:sz w:val="17"/>
              </w:rPr>
            </w:pPr>
            <w:r>
              <w:rPr>
                <w:sz w:val="17"/>
              </w:rPr>
              <w:t>Se l'associazione non può essere evitata ed è richiesto un trattamento prolungato con il PPI può essere opportuno effettuare controlli periodici elettrocardiografici e il dosaggio degli elettroliti</w:t>
            </w:r>
          </w:p>
          <w:p w:rsidR="006B7138" w:rsidRDefault="001112AC">
            <w:pPr>
              <w:pStyle w:val="TableParagraph"/>
              <w:spacing w:before="1"/>
              <w:rPr>
                <w:sz w:val="17"/>
              </w:rPr>
            </w:pPr>
            <w:r>
              <w:rPr>
                <w:sz w:val="17"/>
              </w:rPr>
              <w:t>(magnesio, potassio e calcio) durante il periodo di trattamento</w:t>
            </w:r>
          </w:p>
        </w:tc>
      </w:tr>
      <w:tr w:rsidR="006B7138">
        <w:trPr>
          <w:trHeight w:val="111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1112AC">
            <w:pPr>
              <w:pStyle w:val="TableParagraph"/>
              <w:spacing w:line="328" w:lineRule="auto"/>
              <w:ind w:right="90"/>
              <w:rPr>
                <w:sz w:val="17"/>
              </w:rPr>
            </w:pPr>
            <w:r>
              <w:rPr>
                <w:sz w:val="17"/>
              </w:rPr>
              <w:t>Considerare la presenza di ulteriori fattori di rischio per il prolungamento dell'intervallo QT cardiaco, quali: età avanzata, elevati dosaggi di farmaco, sesso femminile, scompensi elettrolitici (bassi livelli ematici K, Ca, Mg), presenza di patologie cardiache (ipertrofia cardiaca, insufficienza</w:t>
            </w:r>
          </w:p>
          <w:p w:rsidR="006B7138" w:rsidRDefault="001112AC">
            <w:pPr>
              <w:pStyle w:val="TableParagraph"/>
              <w:spacing w:before="1"/>
              <w:rPr>
                <w:sz w:val="17"/>
              </w:rPr>
            </w:pPr>
            <w:r>
              <w:rPr>
                <w:sz w:val="17"/>
              </w:rPr>
              <w:t>cardiaca, cardiomiopatie, bradicardia, fibrillazione atriale) e sindrome congenita del QT lungo</w:t>
            </w:r>
          </w:p>
        </w:tc>
      </w:tr>
    </w:tbl>
    <w:p w:rsidR="006B7138" w:rsidRDefault="006B7138">
      <w:pPr>
        <w:pStyle w:val="Corpotesto"/>
        <w:rPr>
          <w:rFonts w:ascii="Times New Roman"/>
          <w:b w:val="0"/>
          <w:sz w:val="20"/>
        </w:rPr>
      </w:pPr>
    </w:p>
    <w:p w:rsidR="006B7138" w:rsidRDefault="006B7138">
      <w:pPr>
        <w:pStyle w:val="Corpotesto"/>
        <w:spacing w:before="6"/>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Metformina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Glibenclamide</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(4)</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Rischio di grave ipoglicemia</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Effetti ipoglicemici additivi</w:t>
            </w:r>
          </w:p>
        </w:tc>
      </w:tr>
      <w:tr w:rsidR="006B7138">
        <w:trPr>
          <w:trHeight w:val="111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spacing w:line="328" w:lineRule="auto"/>
              <w:ind w:right="198"/>
              <w:rPr>
                <w:sz w:val="17"/>
              </w:rPr>
            </w:pPr>
            <w:r>
              <w:rPr>
                <w:sz w:val="17"/>
              </w:rPr>
              <w:t>Usare con cautela e monitorare la glicemia; la glicazide è la sulfanilurea che espone al minor rischio di ipoglicemia quando si prevede l'aggiunta di una sulfanilurea alla metformina. Il rischio di grave ipoglicemia è inoltre inferiore quando alla metformina si aggiunge una sulfanilurea</w:t>
            </w:r>
          </w:p>
          <w:p w:rsidR="006B7138" w:rsidRDefault="001112AC">
            <w:pPr>
              <w:pStyle w:val="TableParagraph"/>
              <w:spacing w:before="1"/>
              <w:rPr>
                <w:sz w:val="17"/>
              </w:rPr>
            </w:pPr>
            <w:r>
              <w:rPr>
                <w:sz w:val="17"/>
              </w:rPr>
              <w:t>rispetto all'insulina</w:t>
            </w:r>
          </w:p>
        </w:tc>
      </w:tr>
      <w:tr w:rsidR="006B7138">
        <w:trPr>
          <w:trHeight w:val="552"/>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1112AC">
            <w:pPr>
              <w:pStyle w:val="TableParagraph"/>
              <w:rPr>
                <w:sz w:val="17"/>
              </w:rPr>
            </w:pPr>
            <w:r>
              <w:rPr>
                <w:sz w:val="17"/>
              </w:rPr>
              <w:t>Ulteriori fattori di rischio sono l'età avanzata (&gt; 65 anni) e la ridotta funzionalità renale (eGFR &lt;</w:t>
            </w:r>
          </w:p>
          <w:p w:rsidR="006B7138" w:rsidRDefault="001112AC">
            <w:pPr>
              <w:pStyle w:val="TableParagraph"/>
              <w:spacing w:before="77"/>
              <w:rPr>
                <w:sz w:val="17"/>
              </w:rPr>
            </w:pPr>
            <w:r>
              <w:rPr>
                <w:sz w:val="17"/>
              </w:rPr>
              <w:t>60 mL/min)</w:t>
            </w:r>
          </w:p>
        </w:tc>
      </w:tr>
    </w:tbl>
    <w:p w:rsidR="006B7138" w:rsidRDefault="006B7138">
      <w:pPr>
        <w:pStyle w:val="Corpotesto"/>
        <w:rPr>
          <w:rFonts w:ascii="Times New Roman"/>
          <w:b w:val="0"/>
          <w:sz w:val="20"/>
        </w:rPr>
      </w:pPr>
    </w:p>
    <w:p w:rsidR="006B7138" w:rsidRDefault="006B7138">
      <w:pPr>
        <w:pStyle w:val="Corpotesto"/>
        <w:spacing w:before="5" w:after="1"/>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Atorvastatina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Levotiroxina</w:t>
            </w:r>
          </w:p>
        </w:tc>
      </w:tr>
      <w:tr w:rsidR="006B7138">
        <w:trPr>
          <w:trHeight w:val="552"/>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B (3)</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Riduzione dell'efficacia terapeutica della levotiroxina</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Induzione del metabolismo della levotiroxina</w:t>
            </w:r>
          </w:p>
        </w:tc>
      </w:tr>
      <w:tr w:rsidR="006B7138">
        <w:trPr>
          <w:trHeight w:val="551"/>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la risposta terapeutica alla levotiroxina; potrebbe essere necessario aumentare il</w:t>
            </w:r>
          </w:p>
          <w:p w:rsidR="006B7138" w:rsidRDefault="001112AC">
            <w:pPr>
              <w:pStyle w:val="TableParagraph"/>
              <w:spacing w:before="77"/>
              <w:rPr>
                <w:sz w:val="17"/>
              </w:rPr>
            </w:pPr>
            <w:r>
              <w:rPr>
                <w:sz w:val="17"/>
              </w:rPr>
              <w:t>dosaggio</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rPr>
          <w:rFonts w:ascii="Times New Roman"/>
          <w:b w:val="0"/>
          <w:sz w:val="20"/>
        </w:rPr>
      </w:pPr>
    </w:p>
    <w:p w:rsidR="006B7138" w:rsidRDefault="006B7138">
      <w:pPr>
        <w:pStyle w:val="Corpotesto"/>
        <w:spacing w:before="5" w:after="1"/>
        <w:rPr>
          <w:rFonts w:ascii="Times New Roman"/>
          <w:b w:val="0"/>
          <w:sz w:val="13"/>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sz w:val="17"/>
              </w:rPr>
            </w:pPr>
            <w:r>
              <w:rPr>
                <w:sz w:val="17"/>
              </w:rPr>
              <w:t>Metformina</w:t>
            </w:r>
          </w:p>
        </w:tc>
      </w:tr>
      <w:tr w:rsidR="006B7138">
        <w:trPr>
          <w:trHeight w:val="268"/>
        </w:trPr>
        <w:tc>
          <w:tcPr>
            <w:tcW w:w="2438" w:type="dxa"/>
          </w:tcPr>
          <w:p w:rsidR="006B7138" w:rsidRDefault="001112AC">
            <w:pPr>
              <w:pStyle w:val="TableParagraph"/>
              <w:ind w:left="55"/>
              <w:rPr>
                <w:b/>
                <w:sz w:val="17"/>
              </w:rPr>
            </w:pPr>
            <w:r>
              <w:rPr>
                <w:b/>
                <w:sz w:val="17"/>
              </w:rPr>
              <w:t>Principio interagente</w:t>
            </w:r>
          </w:p>
        </w:tc>
        <w:tc>
          <w:tcPr>
            <w:tcW w:w="8504" w:type="dxa"/>
          </w:tcPr>
          <w:p w:rsidR="006B7138" w:rsidRDefault="001112AC">
            <w:pPr>
              <w:pStyle w:val="TableParagraph"/>
              <w:rPr>
                <w:sz w:val="17"/>
              </w:rPr>
            </w:pPr>
            <w:r>
              <w:rPr>
                <w:sz w:val="17"/>
              </w:rPr>
              <w:t>Furosemide</w:t>
            </w:r>
          </w:p>
        </w:tc>
      </w:tr>
      <w:tr w:rsidR="006B7138">
        <w:trPr>
          <w:trHeight w:val="551"/>
        </w:trPr>
        <w:tc>
          <w:tcPr>
            <w:tcW w:w="2438" w:type="dxa"/>
          </w:tcPr>
          <w:p w:rsidR="006B7138" w:rsidRDefault="001112AC">
            <w:pPr>
              <w:pStyle w:val="TableParagraph"/>
              <w:ind w:left="55"/>
              <w:rPr>
                <w:b/>
                <w:sz w:val="17"/>
              </w:rPr>
            </w:pPr>
            <w:r>
              <w:rPr>
                <w:b/>
                <w:sz w:val="17"/>
              </w:rPr>
              <w:t>Rilevanza clinica</w:t>
            </w:r>
          </w:p>
          <w:p w:rsidR="006B7138" w:rsidRDefault="001112AC">
            <w:pPr>
              <w:pStyle w:val="TableParagraph"/>
              <w:spacing w:before="77"/>
              <w:ind w:left="55"/>
              <w:rPr>
                <w:b/>
                <w:sz w:val="17"/>
              </w:rPr>
            </w:pPr>
            <w:r>
              <w:rPr>
                <w:b/>
                <w:sz w:val="17"/>
              </w:rPr>
              <w:t>(Documentazione)</w:t>
            </w:r>
          </w:p>
        </w:tc>
        <w:tc>
          <w:tcPr>
            <w:tcW w:w="8504" w:type="dxa"/>
          </w:tcPr>
          <w:p w:rsidR="006B7138" w:rsidRDefault="001112AC">
            <w:pPr>
              <w:pStyle w:val="TableParagraph"/>
              <w:rPr>
                <w:sz w:val="17"/>
              </w:rPr>
            </w:pPr>
            <w:r>
              <w:rPr>
                <w:sz w:val="17"/>
              </w:rPr>
              <w:t>A (2)</w:t>
            </w:r>
          </w:p>
        </w:tc>
      </w:tr>
      <w:tr w:rsidR="006B7138">
        <w:trPr>
          <w:trHeight w:val="268"/>
        </w:trPr>
        <w:tc>
          <w:tcPr>
            <w:tcW w:w="2438" w:type="dxa"/>
          </w:tcPr>
          <w:p w:rsidR="006B7138" w:rsidRDefault="001112AC">
            <w:pPr>
              <w:pStyle w:val="TableParagraph"/>
              <w:ind w:left="55"/>
              <w:rPr>
                <w:b/>
                <w:sz w:val="17"/>
              </w:rPr>
            </w:pPr>
            <w:r>
              <w:rPr>
                <w:b/>
                <w:sz w:val="17"/>
              </w:rPr>
              <w:t>Possibili effetti</w:t>
            </w:r>
          </w:p>
        </w:tc>
        <w:tc>
          <w:tcPr>
            <w:tcW w:w="8504" w:type="dxa"/>
          </w:tcPr>
          <w:p w:rsidR="006B7138" w:rsidRDefault="001112AC">
            <w:pPr>
              <w:pStyle w:val="TableParagraph"/>
              <w:rPr>
                <w:sz w:val="17"/>
              </w:rPr>
            </w:pPr>
            <w:r>
              <w:rPr>
                <w:sz w:val="17"/>
              </w:rPr>
              <w:t>Aumento del rischio di ipoglicemia</w:t>
            </w:r>
          </w:p>
        </w:tc>
      </w:tr>
      <w:tr w:rsidR="006B7138">
        <w:trPr>
          <w:trHeight w:val="268"/>
        </w:trPr>
        <w:tc>
          <w:tcPr>
            <w:tcW w:w="2438" w:type="dxa"/>
          </w:tcPr>
          <w:p w:rsidR="006B7138" w:rsidRDefault="001112AC">
            <w:pPr>
              <w:pStyle w:val="TableParagraph"/>
              <w:ind w:left="55"/>
              <w:rPr>
                <w:b/>
                <w:sz w:val="17"/>
              </w:rPr>
            </w:pPr>
            <w:r>
              <w:rPr>
                <w:b/>
                <w:sz w:val="17"/>
              </w:rPr>
              <w:t>Meccanismo</w:t>
            </w:r>
          </w:p>
        </w:tc>
        <w:tc>
          <w:tcPr>
            <w:tcW w:w="8504" w:type="dxa"/>
          </w:tcPr>
          <w:p w:rsidR="006B7138" w:rsidRDefault="001112AC">
            <w:pPr>
              <w:pStyle w:val="TableParagraph"/>
              <w:rPr>
                <w:sz w:val="17"/>
              </w:rPr>
            </w:pPr>
            <w:r>
              <w:rPr>
                <w:sz w:val="17"/>
              </w:rPr>
              <w:t>Non noto</w:t>
            </w:r>
          </w:p>
        </w:tc>
      </w:tr>
      <w:tr w:rsidR="006B7138">
        <w:trPr>
          <w:trHeight w:val="268"/>
        </w:trPr>
        <w:tc>
          <w:tcPr>
            <w:tcW w:w="2438" w:type="dxa"/>
          </w:tcPr>
          <w:p w:rsidR="006B7138" w:rsidRDefault="001112AC">
            <w:pPr>
              <w:pStyle w:val="TableParagraph"/>
              <w:ind w:left="55"/>
              <w:rPr>
                <w:b/>
                <w:sz w:val="17"/>
              </w:rPr>
            </w:pPr>
            <w:r>
              <w:rPr>
                <w:b/>
                <w:sz w:val="17"/>
              </w:rPr>
              <w:t>Comportamento clinico</w:t>
            </w:r>
          </w:p>
        </w:tc>
        <w:tc>
          <w:tcPr>
            <w:tcW w:w="8504" w:type="dxa"/>
          </w:tcPr>
          <w:p w:rsidR="006B7138" w:rsidRDefault="001112AC">
            <w:pPr>
              <w:pStyle w:val="TableParagraph"/>
              <w:rPr>
                <w:sz w:val="17"/>
              </w:rPr>
            </w:pPr>
            <w:r>
              <w:rPr>
                <w:sz w:val="17"/>
              </w:rPr>
              <w:t>Monitorare la glicemia</w:t>
            </w:r>
          </w:p>
        </w:tc>
      </w:tr>
      <w:tr w:rsidR="006B7138">
        <w:trPr>
          <w:trHeight w:val="268"/>
        </w:trPr>
        <w:tc>
          <w:tcPr>
            <w:tcW w:w="2438" w:type="dxa"/>
          </w:tcPr>
          <w:p w:rsidR="006B7138" w:rsidRDefault="001112AC">
            <w:pPr>
              <w:pStyle w:val="TableParagraph"/>
              <w:ind w:left="55"/>
              <w:rPr>
                <w:b/>
                <w:sz w:val="17"/>
              </w:rPr>
            </w:pPr>
            <w:r>
              <w:rPr>
                <w:b/>
                <w:sz w:val="17"/>
              </w:rPr>
              <w:t>Ulteriori Problematiche</w:t>
            </w:r>
          </w:p>
        </w:tc>
        <w:tc>
          <w:tcPr>
            <w:tcW w:w="8504" w:type="dxa"/>
          </w:tcPr>
          <w:p w:rsidR="006B7138" w:rsidRDefault="006B7138">
            <w:pPr>
              <w:pStyle w:val="TableParagraph"/>
              <w:spacing w:before="0"/>
              <w:ind w:left="0"/>
              <w:rPr>
                <w:rFonts w:ascii="Times New Roman"/>
                <w:sz w:val="16"/>
              </w:rPr>
            </w:pPr>
          </w:p>
        </w:tc>
      </w:tr>
    </w:tbl>
    <w:p w:rsidR="006B7138" w:rsidRDefault="006B7138">
      <w:pPr>
        <w:pStyle w:val="Corpotesto"/>
        <w:rPr>
          <w:rFonts w:ascii="Times New Roman"/>
          <w:b w:val="0"/>
          <w:sz w:val="20"/>
        </w:rPr>
      </w:pPr>
    </w:p>
    <w:p w:rsidR="006B7138" w:rsidRDefault="006B7138">
      <w:pPr>
        <w:pStyle w:val="Corpotesto"/>
        <w:spacing w:before="5"/>
        <w:rPr>
          <w:rFonts w:ascii="Times New Roman"/>
          <w:b w:val="0"/>
          <w:sz w:val="24"/>
        </w:rPr>
      </w:pPr>
    </w:p>
    <w:p w:rsidR="006B7138" w:rsidRDefault="001112AC">
      <w:pPr>
        <w:pStyle w:val="Corpotesto"/>
        <w:spacing w:before="100"/>
        <w:ind w:left="163"/>
      </w:pPr>
      <w:r>
        <w:t>INAPPROPRIATEZZE SECONDO I CRITERI DI BEERS</w:t>
      </w:r>
    </w:p>
    <w:p w:rsidR="006B7138" w:rsidRDefault="006B7138">
      <w:pPr>
        <w:spacing w:before="9"/>
        <w:rPr>
          <w:b/>
          <w:sz w:val="15"/>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4252"/>
        <w:gridCol w:w="4252"/>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bl>
    <w:p w:rsidR="006B7138" w:rsidRDefault="006B7138">
      <w:pPr>
        <w:rPr>
          <w:sz w:val="17"/>
        </w:rPr>
        <w:sectPr w:rsidR="006B7138">
          <w:pgSz w:w="11910" w:h="16840"/>
          <w:pgMar w:top="800" w:right="280" w:bottom="680" w:left="460" w:header="582" w:footer="494" w:gutter="0"/>
          <w:cols w:space="720"/>
        </w:sectPr>
      </w:pPr>
    </w:p>
    <w:p w:rsidR="006B7138" w:rsidRDefault="006B7138">
      <w:pPr>
        <w:spacing w:before="11" w:after="1"/>
        <w:rPr>
          <w:b/>
          <w:sz w:val="26"/>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4252"/>
        <w:gridCol w:w="4252"/>
      </w:tblGrid>
      <w:tr w:rsidR="006B7138">
        <w:trPr>
          <w:trHeight w:val="3103"/>
        </w:trPr>
        <w:tc>
          <w:tcPr>
            <w:tcW w:w="2438" w:type="dxa"/>
          </w:tcPr>
          <w:p w:rsidR="006B7138" w:rsidRDefault="001112AC">
            <w:pPr>
              <w:pStyle w:val="TableParagraph"/>
              <w:ind w:left="55"/>
              <w:rPr>
                <w:sz w:val="17"/>
              </w:rPr>
            </w:pPr>
            <w:r>
              <w:rPr>
                <w:sz w:val="17"/>
              </w:rPr>
              <w:t>Insulina</w:t>
            </w:r>
          </w:p>
        </w:tc>
        <w:tc>
          <w:tcPr>
            <w:tcW w:w="4252" w:type="dxa"/>
          </w:tcPr>
          <w:p w:rsidR="006B7138" w:rsidRDefault="001112AC">
            <w:pPr>
              <w:pStyle w:val="TableParagraph"/>
              <w:spacing w:line="328" w:lineRule="auto"/>
              <w:ind w:right="40"/>
              <w:jc w:val="both"/>
              <w:rPr>
                <w:sz w:val="17"/>
              </w:rPr>
            </w:pPr>
            <w:r>
              <w:rPr>
                <w:sz w:val="17"/>
              </w:rPr>
              <w:t>Alto rischio di ipoglicemia senza benefici nella gestione dell'iperglicemia senza riguardo del contesto di cura; si riferisce al solo uso di insulina a breve o rapida durata d'azione per gestire o evitare l'iperglicemia in assenza di insulina basale o a lunga durata d'azione; inutile nella riduzione dell'insulina basale o, nel caso di insuline a rapida o breve durata d'azione, se usate insieme all'insulina programmata (es. nella</w:t>
            </w:r>
            <w:r>
              <w:rPr>
                <w:spacing w:val="25"/>
                <w:sz w:val="17"/>
              </w:rPr>
              <w:t xml:space="preserve"> </w:t>
            </w:r>
            <w:r>
              <w:rPr>
                <w:sz w:val="17"/>
              </w:rPr>
              <w:t>correzione</w:t>
            </w:r>
          </w:p>
          <w:p w:rsidR="006B7138" w:rsidRDefault="001112AC">
            <w:pPr>
              <w:pStyle w:val="TableParagraph"/>
              <w:spacing w:before="4"/>
              <w:jc w:val="both"/>
              <w:rPr>
                <w:sz w:val="17"/>
              </w:rPr>
            </w:pPr>
            <w:r>
              <w:rPr>
                <w:sz w:val="17"/>
              </w:rPr>
              <w:t>dell'insulina).</w:t>
            </w:r>
          </w:p>
        </w:tc>
        <w:tc>
          <w:tcPr>
            <w:tcW w:w="4252" w:type="dxa"/>
          </w:tcPr>
          <w:p w:rsidR="006B7138" w:rsidRDefault="001112AC">
            <w:pPr>
              <w:pStyle w:val="TableParagraph"/>
              <w:spacing w:line="328" w:lineRule="auto"/>
              <w:rPr>
                <w:sz w:val="17"/>
              </w:rPr>
            </w:pPr>
            <w:r>
              <w:rPr>
                <w:sz w:val="17"/>
              </w:rPr>
              <w:t>L'uso di insulina, al bisogno dovrebbe essere evitato.</w:t>
            </w:r>
          </w:p>
        </w:tc>
      </w:tr>
      <w:tr w:rsidR="006B7138">
        <w:trPr>
          <w:trHeight w:val="2252"/>
        </w:trPr>
        <w:tc>
          <w:tcPr>
            <w:tcW w:w="2438" w:type="dxa"/>
          </w:tcPr>
          <w:p w:rsidR="006B7138" w:rsidRDefault="001112AC">
            <w:pPr>
              <w:pStyle w:val="TableParagraph"/>
              <w:ind w:left="55"/>
              <w:rPr>
                <w:sz w:val="17"/>
              </w:rPr>
            </w:pPr>
            <w:r>
              <w:rPr>
                <w:sz w:val="17"/>
              </w:rPr>
              <w:t>Pantoprazolo</w:t>
            </w:r>
          </w:p>
        </w:tc>
        <w:tc>
          <w:tcPr>
            <w:tcW w:w="4252" w:type="dxa"/>
          </w:tcPr>
          <w:p w:rsidR="006B7138" w:rsidRDefault="001112AC">
            <w:pPr>
              <w:pStyle w:val="TableParagraph"/>
              <w:spacing w:line="328" w:lineRule="auto"/>
              <w:ind w:right="27"/>
              <w:rPr>
                <w:sz w:val="17"/>
              </w:rPr>
            </w:pPr>
            <w:r>
              <w:rPr>
                <w:sz w:val="17"/>
              </w:rPr>
              <w:t>Aumenta il rischio di infezioni da &lt;i&gt;Clostridium difficile&lt;/i&gt;, perdita di massa ossea e fratture.</w:t>
            </w:r>
          </w:p>
        </w:tc>
        <w:tc>
          <w:tcPr>
            <w:tcW w:w="4252" w:type="dxa"/>
          </w:tcPr>
          <w:p w:rsidR="006B7138" w:rsidRDefault="001112AC">
            <w:pPr>
              <w:pStyle w:val="TableParagraph"/>
              <w:spacing w:line="328" w:lineRule="auto"/>
              <w:ind w:right="40"/>
              <w:jc w:val="both"/>
              <w:rPr>
                <w:sz w:val="17"/>
              </w:rPr>
            </w:pPr>
            <w:r>
              <w:rPr>
                <w:sz w:val="17"/>
              </w:rPr>
              <w:t>Dovrebbe essere evitato l'uso per più di 8 settimane tranne che nelle seguenti condizioni: soggetti ad alto rischio (terapia orale con corticosteroidi o uso cronico di FANS), esofagite erosiva, esafago di Barret, ipersecrezione patologica o dimostrata necessità di terapia di mantenimento (fallimento della sospensione</w:t>
            </w:r>
            <w:r>
              <w:rPr>
                <w:spacing w:val="51"/>
                <w:sz w:val="17"/>
              </w:rPr>
              <w:t xml:space="preserve"> </w:t>
            </w:r>
            <w:r>
              <w:rPr>
                <w:sz w:val="17"/>
              </w:rPr>
              <w:t>o</w:t>
            </w:r>
          </w:p>
          <w:p w:rsidR="006B7138" w:rsidRDefault="001112AC">
            <w:pPr>
              <w:pStyle w:val="TableParagraph"/>
              <w:spacing w:before="3"/>
              <w:jc w:val="both"/>
              <w:rPr>
                <w:sz w:val="17"/>
              </w:rPr>
            </w:pPr>
            <w:r>
              <w:rPr>
                <w:sz w:val="17"/>
              </w:rPr>
              <w:t>inefficacia degli anti-H2).</w:t>
            </w:r>
          </w:p>
        </w:tc>
      </w:tr>
      <w:tr w:rsidR="006B7138">
        <w:trPr>
          <w:trHeight w:val="1969"/>
        </w:trPr>
        <w:tc>
          <w:tcPr>
            <w:tcW w:w="2438" w:type="dxa"/>
          </w:tcPr>
          <w:p w:rsidR="006B7138" w:rsidRDefault="001112AC">
            <w:pPr>
              <w:pStyle w:val="TableParagraph"/>
              <w:ind w:left="55"/>
              <w:rPr>
                <w:sz w:val="17"/>
              </w:rPr>
            </w:pPr>
            <w:r>
              <w:rPr>
                <w:sz w:val="17"/>
              </w:rPr>
              <w:t>Zolpidem</w:t>
            </w:r>
          </w:p>
        </w:tc>
        <w:tc>
          <w:tcPr>
            <w:tcW w:w="4252" w:type="dxa"/>
          </w:tcPr>
          <w:p w:rsidR="006B7138" w:rsidRDefault="001112AC">
            <w:pPr>
              <w:pStyle w:val="TableParagraph"/>
              <w:spacing w:line="328" w:lineRule="auto"/>
              <w:ind w:right="40"/>
              <w:jc w:val="both"/>
              <w:rPr>
                <w:sz w:val="17"/>
              </w:rPr>
            </w:pPr>
            <w:r>
              <w:rPr>
                <w:sz w:val="17"/>
              </w:rPr>
              <w:t>Gli agonisti del recettore delle benzodiazepine hanno un profilo di rischio simile alle benzodiazepine nell'anziano (es. delirium, cadute, fratture); causano aumento delle ?visite al pronto soccorso e dei ricoveri e possono causare incidenti stradali. Hanno benefici</w:t>
            </w:r>
          </w:p>
          <w:p w:rsidR="006B7138" w:rsidRDefault="001112AC">
            <w:pPr>
              <w:pStyle w:val="TableParagraph"/>
              <w:spacing w:before="2"/>
              <w:jc w:val="both"/>
              <w:rPr>
                <w:sz w:val="17"/>
              </w:rPr>
            </w:pPr>
            <w:r>
              <w:rPr>
                <w:sz w:val="17"/>
              </w:rPr>
              <w:t>minimi su latenza e durata del sonno.</w:t>
            </w:r>
          </w:p>
        </w:tc>
        <w:tc>
          <w:tcPr>
            <w:tcW w:w="4252" w:type="dxa"/>
          </w:tcPr>
          <w:p w:rsidR="006B7138" w:rsidRDefault="001112AC">
            <w:pPr>
              <w:pStyle w:val="TableParagraph"/>
              <w:rPr>
                <w:sz w:val="17"/>
              </w:rPr>
            </w:pPr>
            <w:r>
              <w:rPr>
                <w:sz w:val="17"/>
              </w:rPr>
              <w:t>L'uso dovrebbe essere evitato.</w:t>
            </w:r>
          </w:p>
        </w:tc>
      </w:tr>
      <w:tr w:rsidR="006B7138">
        <w:trPr>
          <w:trHeight w:val="552"/>
        </w:trPr>
        <w:tc>
          <w:tcPr>
            <w:tcW w:w="2438" w:type="dxa"/>
          </w:tcPr>
          <w:p w:rsidR="006B7138" w:rsidRDefault="001112AC">
            <w:pPr>
              <w:pStyle w:val="TableParagraph"/>
              <w:ind w:left="55"/>
              <w:rPr>
                <w:sz w:val="17"/>
              </w:rPr>
            </w:pPr>
            <w:r>
              <w:rPr>
                <w:sz w:val="17"/>
              </w:rPr>
              <w:t>Glibenclamide</w:t>
            </w:r>
          </w:p>
          <w:p w:rsidR="006B7138" w:rsidRDefault="001112AC">
            <w:pPr>
              <w:pStyle w:val="TableParagraph"/>
              <w:spacing w:before="77"/>
              <w:ind w:left="55"/>
              <w:rPr>
                <w:sz w:val="17"/>
              </w:rPr>
            </w:pPr>
            <w:r>
              <w:rPr>
                <w:sz w:val="17"/>
              </w:rPr>
              <w:t>Metformina</w:t>
            </w:r>
          </w:p>
        </w:tc>
        <w:tc>
          <w:tcPr>
            <w:tcW w:w="4252" w:type="dxa"/>
          </w:tcPr>
          <w:p w:rsidR="006B7138" w:rsidRDefault="001112AC">
            <w:pPr>
              <w:pStyle w:val="TableParagraph"/>
              <w:rPr>
                <w:sz w:val="17"/>
              </w:rPr>
            </w:pPr>
            <w:r>
              <w:rPr>
                <w:sz w:val="17"/>
              </w:rPr>
              <w:t>La glibenclamide ha il rischio più alto di grave e</w:t>
            </w:r>
          </w:p>
          <w:p w:rsidR="006B7138" w:rsidRDefault="001112AC">
            <w:pPr>
              <w:pStyle w:val="TableParagraph"/>
              <w:spacing w:before="77"/>
              <w:rPr>
                <w:sz w:val="17"/>
              </w:rPr>
            </w:pPr>
            <w:r>
              <w:rPr>
                <w:sz w:val="17"/>
              </w:rPr>
              <w:t>prolungata ipoglicemia nell'anziano.</w:t>
            </w:r>
          </w:p>
        </w:tc>
        <w:tc>
          <w:tcPr>
            <w:tcW w:w="4252" w:type="dxa"/>
          </w:tcPr>
          <w:p w:rsidR="006B7138" w:rsidRDefault="001112AC">
            <w:pPr>
              <w:pStyle w:val="TableParagraph"/>
              <w:rPr>
                <w:sz w:val="17"/>
              </w:rPr>
            </w:pPr>
            <w:r>
              <w:rPr>
                <w:sz w:val="17"/>
              </w:rPr>
              <w:t>L'uso dovrebbe essere evitato.</w:t>
            </w:r>
          </w:p>
        </w:tc>
      </w:tr>
      <w:tr w:rsidR="006B7138">
        <w:trPr>
          <w:trHeight w:val="268"/>
        </w:trPr>
        <w:tc>
          <w:tcPr>
            <w:tcW w:w="10942" w:type="dxa"/>
            <w:gridSpan w:val="3"/>
          </w:tcPr>
          <w:p w:rsidR="006B7138" w:rsidRDefault="001112AC">
            <w:pPr>
              <w:pStyle w:val="TableParagraph"/>
              <w:ind w:left="55"/>
              <w:rPr>
                <w:b/>
                <w:sz w:val="17"/>
              </w:rPr>
            </w:pPr>
            <w:r>
              <w:rPr>
                <w:b/>
                <w:sz w:val="17"/>
              </w:rPr>
              <w:t>DA USARE CON CAUTELA</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r w:rsidR="006B7138">
        <w:trPr>
          <w:trHeight w:val="552"/>
        </w:trPr>
        <w:tc>
          <w:tcPr>
            <w:tcW w:w="2438" w:type="dxa"/>
          </w:tcPr>
          <w:p w:rsidR="006B7138" w:rsidRDefault="001112AC">
            <w:pPr>
              <w:pStyle w:val="TableParagraph"/>
              <w:ind w:left="55"/>
              <w:rPr>
                <w:sz w:val="17"/>
              </w:rPr>
            </w:pPr>
            <w:r>
              <w:rPr>
                <w:sz w:val="17"/>
              </w:rPr>
              <w:t>Nitroglicerina</w:t>
            </w:r>
          </w:p>
        </w:tc>
        <w:tc>
          <w:tcPr>
            <w:tcW w:w="4252" w:type="dxa"/>
          </w:tcPr>
          <w:p w:rsidR="006B7138" w:rsidRDefault="001112AC">
            <w:pPr>
              <w:pStyle w:val="TableParagraph"/>
              <w:rPr>
                <w:sz w:val="17"/>
              </w:rPr>
            </w:pPr>
            <w:r>
              <w:rPr>
                <w:sz w:val="17"/>
              </w:rPr>
              <w:t>Può esacerbare episodi sincopali in soggetti</w:t>
            </w:r>
            <w:r>
              <w:rPr>
                <w:spacing w:val="53"/>
                <w:sz w:val="17"/>
              </w:rPr>
              <w:t xml:space="preserve"> </w:t>
            </w:r>
            <w:r>
              <w:rPr>
                <w:sz w:val="17"/>
              </w:rPr>
              <w:t>con</w:t>
            </w:r>
          </w:p>
          <w:p w:rsidR="006B7138" w:rsidRDefault="001112AC">
            <w:pPr>
              <w:pStyle w:val="TableParagraph"/>
              <w:spacing w:before="77"/>
              <w:rPr>
                <w:sz w:val="17"/>
              </w:rPr>
            </w:pPr>
            <w:r>
              <w:rPr>
                <w:sz w:val="17"/>
              </w:rPr>
              <w:t>pregressa storia di sincope.</w:t>
            </w:r>
          </w:p>
        </w:tc>
        <w:tc>
          <w:tcPr>
            <w:tcW w:w="4252" w:type="dxa"/>
          </w:tcPr>
          <w:p w:rsidR="006B7138" w:rsidRDefault="001112AC">
            <w:pPr>
              <w:pStyle w:val="TableParagraph"/>
              <w:rPr>
                <w:sz w:val="17"/>
              </w:rPr>
            </w:pPr>
            <w:r>
              <w:rPr>
                <w:sz w:val="17"/>
              </w:rPr>
              <w:t>Usare con cautela.</w:t>
            </w:r>
          </w:p>
        </w:tc>
      </w:tr>
      <w:tr w:rsidR="006B7138">
        <w:trPr>
          <w:trHeight w:val="1685"/>
        </w:trPr>
        <w:tc>
          <w:tcPr>
            <w:tcW w:w="2438" w:type="dxa"/>
          </w:tcPr>
          <w:p w:rsidR="006B7138" w:rsidRDefault="001112AC">
            <w:pPr>
              <w:pStyle w:val="TableParagraph"/>
              <w:spacing w:line="328" w:lineRule="auto"/>
              <w:ind w:left="55" w:right="1357"/>
              <w:rPr>
                <w:sz w:val="17"/>
              </w:rPr>
            </w:pPr>
            <w:r>
              <w:rPr>
                <w:sz w:val="17"/>
              </w:rPr>
              <w:t>Furosemide Sertralina</w:t>
            </w:r>
          </w:p>
        </w:tc>
        <w:tc>
          <w:tcPr>
            <w:tcW w:w="4252" w:type="dxa"/>
          </w:tcPr>
          <w:p w:rsidR="006B7138" w:rsidRDefault="001112AC">
            <w:pPr>
              <w:pStyle w:val="TableParagraph"/>
              <w:spacing w:line="328" w:lineRule="auto"/>
              <w:ind w:right="39"/>
              <w:jc w:val="both"/>
              <w:rPr>
                <w:sz w:val="17"/>
              </w:rPr>
            </w:pPr>
            <w:r>
              <w:rPr>
                <w:sz w:val="17"/>
              </w:rPr>
              <w:t>Può esacerbare o causare la sindrome da inappropriata secrezione di ormone antidiuretico o iponatremia; necessità di monitorare attentamente i livelli di sodio all'inizio della terapia o ad</w:t>
            </w:r>
            <w:r>
              <w:rPr>
                <w:spacing w:val="39"/>
                <w:sz w:val="17"/>
              </w:rPr>
              <w:t xml:space="preserve"> </w:t>
            </w:r>
            <w:r>
              <w:rPr>
                <w:sz w:val="17"/>
              </w:rPr>
              <w:t>eventuali</w:t>
            </w:r>
          </w:p>
          <w:p w:rsidR="006B7138" w:rsidRDefault="001112AC">
            <w:pPr>
              <w:pStyle w:val="TableParagraph"/>
              <w:spacing w:before="2"/>
              <w:jc w:val="both"/>
              <w:rPr>
                <w:sz w:val="17"/>
              </w:rPr>
            </w:pPr>
            <w:r>
              <w:rPr>
                <w:sz w:val="17"/>
              </w:rPr>
              <w:t>cambiamenti dei dosaggi.</w:t>
            </w:r>
          </w:p>
        </w:tc>
        <w:tc>
          <w:tcPr>
            <w:tcW w:w="4252" w:type="dxa"/>
          </w:tcPr>
          <w:p w:rsidR="006B7138" w:rsidRDefault="001112AC">
            <w:pPr>
              <w:pStyle w:val="TableParagraph"/>
              <w:rPr>
                <w:sz w:val="17"/>
              </w:rPr>
            </w:pPr>
            <w:r>
              <w:rPr>
                <w:sz w:val="17"/>
              </w:rPr>
              <w:t>Usare con cautela.</w:t>
            </w:r>
          </w:p>
        </w:tc>
      </w:tr>
    </w:tbl>
    <w:p w:rsidR="006B7138" w:rsidRDefault="006B7138">
      <w:pPr>
        <w:spacing w:before="5"/>
        <w:rPr>
          <w:b/>
          <w:sz w:val="16"/>
        </w:rPr>
      </w:pPr>
    </w:p>
    <w:p w:rsidR="006B7138" w:rsidRDefault="002553E9">
      <w:pPr>
        <w:pStyle w:val="Corpotesto"/>
        <w:spacing w:before="100" w:line="328" w:lineRule="auto"/>
        <w:ind w:left="163" w:right="798"/>
      </w:pPr>
      <w:r>
        <w:rPr>
          <w:noProof/>
          <w:lang w:val="it-IT" w:eastAsia="it-IT"/>
        </w:rPr>
        <mc:AlternateContent>
          <mc:Choice Requires="wps">
            <w:drawing>
              <wp:anchor distT="0" distB="0" distL="114300" distR="114300" simplePos="0" relativeHeight="251656704" behindDoc="0" locked="0" layoutInCell="1" allowOverlap="1">
                <wp:simplePos x="0" y="0"/>
                <wp:positionH relativeFrom="page">
                  <wp:posOffset>356235</wp:posOffset>
                </wp:positionH>
                <wp:positionV relativeFrom="paragraph">
                  <wp:posOffset>405765</wp:posOffset>
                </wp:positionV>
                <wp:extent cx="6958965" cy="1087120"/>
                <wp:effectExtent l="3810" t="0" r="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4252"/>
                              <w:gridCol w:w="4252"/>
                            </w:tblGrid>
                            <w:tr w:rsidR="006B7138">
                              <w:trPr>
                                <w:trHeight w:val="268"/>
                              </w:trPr>
                              <w:tc>
                                <w:tcPr>
                                  <w:tcW w:w="10942" w:type="dxa"/>
                                  <w:gridSpan w:val="3"/>
                                </w:tcPr>
                                <w:p w:rsidR="006B7138" w:rsidRDefault="001112AC">
                                  <w:pPr>
                                    <w:pStyle w:val="TableParagraph"/>
                                    <w:ind w:left="55"/>
                                    <w:rPr>
                                      <w:b/>
                                      <w:sz w:val="17"/>
                                    </w:rPr>
                                  </w:pPr>
                                  <w:r>
                                    <w:rPr>
                                      <w:b/>
                                      <w:sz w:val="17"/>
                                    </w:rPr>
                                    <w:t>DELIRIUM</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r w:rsidR="006B7138">
                              <w:trPr>
                                <w:trHeight w:val="551"/>
                              </w:trPr>
                              <w:tc>
                                <w:tcPr>
                                  <w:tcW w:w="2438" w:type="dxa"/>
                                </w:tcPr>
                                <w:p w:rsidR="006B7138" w:rsidRDefault="001112AC">
                                  <w:pPr>
                                    <w:pStyle w:val="TableParagraph"/>
                                    <w:ind w:left="55"/>
                                    <w:rPr>
                                      <w:sz w:val="17"/>
                                    </w:rPr>
                                  </w:pPr>
                                  <w:r>
                                    <w:rPr>
                                      <w:sz w:val="17"/>
                                    </w:rPr>
                                    <w:t>Zolpidem</w:t>
                                  </w:r>
                                </w:p>
                              </w:tc>
                              <w:tc>
                                <w:tcPr>
                                  <w:tcW w:w="4252" w:type="dxa"/>
                                </w:tcPr>
                                <w:p w:rsidR="006B7138" w:rsidRDefault="001112AC">
                                  <w:pPr>
                                    <w:pStyle w:val="TableParagraph"/>
                                    <w:rPr>
                                      <w:sz w:val="17"/>
                                    </w:rPr>
                                  </w:pPr>
                                  <w:r>
                                    <w:rPr>
                                      <w:sz w:val="17"/>
                                    </w:rPr>
                                    <w:t>Può indurre o peggiorare il delirium negli</w:t>
                                  </w:r>
                                </w:p>
                                <w:p w:rsidR="006B7138" w:rsidRDefault="001112AC">
                                  <w:pPr>
                                    <w:pStyle w:val="TableParagraph"/>
                                    <w:spacing w:before="77"/>
                                    <w:rPr>
                                      <w:sz w:val="17"/>
                                    </w:rPr>
                                  </w:pPr>
                                  <w:r>
                                    <w:rPr>
                                      <w:sz w:val="17"/>
                                    </w:rPr>
                                    <w:t>anziani ad alto rischio.</w:t>
                                  </w:r>
                                </w:p>
                              </w:tc>
                              <w:tc>
                                <w:tcPr>
                                  <w:tcW w:w="4252" w:type="dxa"/>
                                </w:tcPr>
                                <w:p w:rsidR="006B7138" w:rsidRDefault="001112AC">
                                  <w:pPr>
                                    <w:pStyle w:val="TableParagraph"/>
                                    <w:rPr>
                                      <w:sz w:val="17"/>
                                    </w:rPr>
                                  </w:pPr>
                                  <w:r>
                                    <w:rPr>
                                      <w:sz w:val="17"/>
                                    </w:rPr>
                                    <w:t>Evitare l'uso.</w:t>
                                  </w:r>
                                </w:p>
                              </w:tc>
                            </w:tr>
                            <w:tr w:rsidR="006B7138">
                              <w:trPr>
                                <w:trHeight w:val="268"/>
                              </w:trPr>
                              <w:tc>
                                <w:tcPr>
                                  <w:tcW w:w="10942" w:type="dxa"/>
                                  <w:gridSpan w:val="3"/>
                                </w:tcPr>
                                <w:p w:rsidR="006B7138" w:rsidRDefault="001112AC">
                                  <w:pPr>
                                    <w:pStyle w:val="TableParagraph"/>
                                    <w:ind w:left="55"/>
                                    <w:rPr>
                                      <w:b/>
                                      <w:sz w:val="17"/>
                                    </w:rPr>
                                  </w:pPr>
                                  <w:r>
                                    <w:rPr>
                                      <w:b/>
                                      <w:sz w:val="17"/>
                                    </w:rPr>
                                    <w:t>STORIA DI CADUTE E FRATTURE</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bl>
                          <w:p w:rsidR="006B7138" w:rsidRDefault="006B713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05pt;margin-top:31.95pt;width:547.95pt;height:8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M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4252"/>
                        <w:gridCol w:w="4252"/>
                      </w:tblGrid>
                      <w:tr w:rsidR="006B7138">
                        <w:trPr>
                          <w:trHeight w:val="268"/>
                        </w:trPr>
                        <w:tc>
                          <w:tcPr>
                            <w:tcW w:w="10942" w:type="dxa"/>
                            <w:gridSpan w:val="3"/>
                          </w:tcPr>
                          <w:p w:rsidR="006B7138" w:rsidRDefault="001112AC">
                            <w:pPr>
                              <w:pStyle w:val="TableParagraph"/>
                              <w:ind w:left="55"/>
                              <w:rPr>
                                <w:b/>
                                <w:sz w:val="17"/>
                              </w:rPr>
                            </w:pPr>
                            <w:r>
                              <w:rPr>
                                <w:b/>
                                <w:sz w:val="17"/>
                              </w:rPr>
                              <w:t>DELIRIUM</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r w:rsidR="006B7138">
                        <w:trPr>
                          <w:trHeight w:val="551"/>
                        </w:trPr>
                        <w:tc>
                          <w:tcPr>
                            <w:tcW w:w="2438" w:type="dxa"/>
                          </w:tcPr>
                          <w:p w:rsidR="006B7138" w:rsidRDefault="001112AC">
                            <w:pPr>
                              <w:pStyle w:val="TableParagraph"/>
                              <w:ind w:left="55"/>
                              <w:rPr>
                                <w:sz w:val="17"/>
                              </w:rPr>
                            </w:pPr>
                            <w:r>
                              <w:rPr>
                                <w:sz w:val="17"/>
                              </w:rPr>
                              <w:t>Zolpidem</w:t>
                            </w:r>
                          </w:p>
                        </w:tc>
                        <w:tc>
                          <w:tcPr>
                            <w:tcW w:w="4252" w:type="dxa"/>
                          </w:tcPr>
                          <w:p w:rsidR="006B7138" w:rsidRDefault="001112AC">
                            <w:pPr>
                              <w:pStyle w:val="TableParagraph"/>
                              <w:rPr>
                                <w:sz w:val="17"/>
                              </w:rPr>
                            </w:pPr>
                            <w:r>
                              <w:rPr>
                                <w:sz w:val="17"/>
                              </w:rPr>
                              <w:t>Può indurre o peggiorare il delirium negli</w:t>
                            </w:r>
                          </w:p>
                          <w:p w:rsidR="006B7138" w:rsidRDefault="001112AC">
                            <w:pPr>
                              <w:pStyle w:val="TableParagraph"/>
                              <w:spacing w:before="77"/>
                              <w:rPr>
                                <w:sz w:val="17"/>
                              </w:rPr>
                            </w:pPr>
                            <w:r>
                              <w:rPr>
                                <w:sz w:val="17"/>
                              </w:rPr>
                              <w:t>anziani ad alto rischio.</w:t>
                            </w:r>
                          </w:p>
                        </w:tc>
                        <w:tc>
                          <w:tcPr>
                            <w:tcW w:w="4252" w:type="dxa"/>
                          </w:tcPr>
                          <w:p w:rsidR="006B7138" w:rsidRDefault="001112AC">
                            <w:pPr>
                              <w:pStyle w:val="TableParagraph"/>
                              <w:rPr>
                                <w:sz w:val="17"/>
                              </w:rPr>
                            </w:pPr>
                            <w:r>
                              <w:rPr>
                                <w:sz w:val="17"/>
                              </w:rPr>
                              <w:t>Evitare l'uso.</w:t>
                            </w:r>
                          </w:p>
                        </w:tc>
                      </w:tr>
                      <w:tr w:rsidR="006B7138">
                        <w:trPr>
                          <w:trHeight w:val="268"/>
                        </w:trPr>
                        <w:tc>
                          <w:tcPr>
                            <w:tcW w:w="10942" w:type="dxa"/>
                            <w:gridSpan w:val="3"/>
                          </w:tcPr>
                          <w:p w:rsidR="006B7138" w:rsidRDefault="001112AC">
                            <w:pPr>
                              <w:pStyle w:val="TableParagraph"/>
                              <w:ind w:left="55"/>
                              <w:rPr>
                                <w:b/>
                                <w:sz w:val="17"/>
                              </w:rPr>
                            </w:pPr>
                            <w:r>
                              <w:rPr>
                                <w:b/>
                                <w:sz w:val="17"/>
                              </w:rPr>
                              <w:t>STORIA DI CADUTE E FRATTURE</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bl>
                    <w:p w:rsidR="006B7138" w:rsidRDefault="006B7138">
                      <w:pPr>
                        <w:pStyle w:val="Corpotesto"/>
                      </w:pPr>
                    </w:p>
                  </w:txbxContent>
                </v:textbox>
                <w10:wrap anchorx="page"/>
              </v:shape>
            </w:pict>
          </mc:Fallback>
        </mc:AlternateContent>
      </w:r>
      <w:r w:rsidR="001112AC">
        <w:t>INTERAZIONI FARMACO-MALATTIA O FARMACO-SINDOME CHE POSSONO ESACERBARE LA MALATTIA O LA SINDROME SOTTOSTANTE</w:t>
      </w:r>
    </w:p>
    <w:p w:rsidR="006B7138" w:rsidRDefault="006B7138">
      <w:pPr>
        <w:spacing w:line="328" w:lineRule="auto"/>
        <w:sectPr w:rsidR="006B7138">
          <w:pgSz w:w="11910" w:h="16840"/>
          <w:pgMar w:top="800" w:right="280" w:bottom="680" w:left="460" w:header="582" w:footer="494" w:gutter="0"/>
          <w:cols w:space="720"/>
        </w:sectPr>
      </w:pPr>
    </w:p>
    <w:p w:rsidR="006B7138" w:rsidRDefault="006B7138">
      <w:pPr>
        <w:spacing w:before="11" w:after="1"/>
        <w:rPr>
          <w:b/>
          <w:sz w:val="26"/>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4252"/>
        <w:gridCol w:w="4252"/>
      </w:tblGrid>
      <w:tr w:rsidR="006B7138">
        <w:trPr>
          <w:trHeight w:val="2252"/>
        </w:trPr>
        <w:tc>
          <w:tcPr>
            <w:tcW w:w="2438" w:type="dxa"/>
          </w:tcPr>
          <w:p w:rsidR="006B7138" w:rsidRDefault="001112AC">
            <w:pPr>
              <w:pStyle w:val="TableParagraph"/>
              <w:spacing w:line="328" w:lineRule="auto"/>
              <w:ind w:left="55" w:right="1137"/>
              <w:rPr>
                <w:sz w:val="17"/>
              </w:rPr>
            </w:pPr>
            <w:r>
              <w:rPr>
                <w:sz w:val="17"/>
              </w:rPr>
              <w:t>Lamotrigina Levetiracetam Zolpidem Sertralina</w:t>
            </w:r>
          </w:p>
        </w:tc>
        <w:tc>
          <w:tcPr>
            <w:tcW w:w="4252" w:type="dxa"/>
          </w:tcPr>
          <w:p w:rsidR="006B7138" w:rsidRDefault="001112AC">
            <w:pPr>
              <w:pStyle w:val="TableParagraph"/>
              <w:spacing w:line="328" w:lineRule="auto"/>
              <w:ind w:right="38"/>
              <w:jc w:val="both"/>
              <w:rPr>
                <w:sz w:val="17"/>
              </w:rPr>
            </w:pPr>
            <w:r>
              <w:rPr>
                <w:sz w:val="17"/>
              </w:rPr>
              <w:t>Rischio di atassia, decadimento delle funzioni psicomotorie, sincope, ulteriori cadute. Se il farmaco deve essere prescritto, bisogna considerare di ridurre l'uso di altri farmaci attivi sul SNC che aumentano il rischio di cadute o fratture: anticonvulsivanti, oppiodi, Z-drugs, antidepressivi e antipsicotici. Realizzare altre</w:t>
            </w:r>
          </w:p>
          <w:p w:rsidR="006B7138" w:rsidRDefault="001112AC">
            <w:pPr>
              <w:pStyle w:val="TableParagraph"/>
              <w:spacing w:before="3"/>
              <w:jc w:val="both"/>
              <w:rPr>
                <w:sz w:val="17"/>
              </w:rPr>
            </w:pPr>
            <w:r>
              <w:rPr>
                <w:sz w:val="17"/>
              </w:rPr>
              <w:t>strategie per ridurre il rischio di cadute.</w:t>
            </w:r>
          </w:p>
        </w:tc>
        <w:tc>
          <w:tcPr>
            <w:tcW w:w="4252" w:type="dxa"/>
          </w:tcPr>
          <w:p w:rsidR="006B7138" w:rsidRDefault="001112AC">
            <w:pPr>
              <w:pStyle w:val="TableParagraph"/>
              <w:spacing w:line="328" w:lineRule="auto"/>
              <w:ind w:right="39"/>
              <w:jc w:val="both"/>
              <w:rPr>
                <w:sz w:val="17"/>
              </w:rPr>
            </w:pPr>
            <w:r>
              <w:rPr>
                <w:sz w:val="17"/>
              </w:rPr>
              <w:t>L'uso dovrebbe essere evitato a meno che altre alternative più sicure non siano disponibili; evitare anticonvulsivante tranne in caso di convulsioni e di disturbi dell'umore.</w:t>
            </w:r>
          </w:p>
        </w:tc>
      </w:tr>
      <w:tr w:rsidR="006B7138">
        <w:trPr>
          <w:trHeight w:val="268"/>
        </w:trPr>
        <w:tc>
          <w:tcPr>
            <w:tcW w:w="10942" w:type="dxa"/>
            <w:gridSpan w:val="3"/>
          </w:tcPr>
          <w:p w:rsidR="006B7138" w:rsidRDefault="001112AC">
            <w:pPr>
              <w:pStyle w:val="TableParagraph"/>
              <w:ind w:left="55"/>
              <w:rPr>
                <w:b/>
                <w:sz w:val="17"/>
              </w:rPr>
            </w:pPr>
            <w:r>
              <w:rPr>
                <w:b/>
                <w:sz w:val="17"/>
              </w:rPr>
              <w:t>DEMENZA O DECADIMENTO COGNITIVO</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4252" w:type="dxa"/>
          </w:tcPr>
          <w:p w:rsidR="006B7138" w:rsidRDefault="001112AC">
            <w:pPr>
              <w:pStyle w:val="TableParagraph"/>
              <w:rPr>
                <w:b/>
                <w:sz w:val="17"/>
              </w:rPr>
            </w:pPr>
            <w:r>
              <w:rPr>
                <w:b/>
                <w:sz w:val="17"/>
              </w:rPr>
              <w:t>Razionale inappropriatezza</w:t>
            </w:r>
          </w:p>
        </w:tc>
        <w:tc>
          <w:tcPr>
            <w:tcW w:w="4252" w:type="dxa"/>
          </w:tcPr>
          <w:p w:rsidR="006B7138" w:rsidRDefault="001112AC">
            <w:pPr>
              <w:pStyle w:val="TableParagraph"/>
              <w:rPr>
                <w:b/>
                <w:sz w:val="17"/>
              </w:rPr>
            </w:pPr>
            <w:r>
              <w:rPr>
                <w:b/>
                <w:sz w:val="17"/>
              </w:rPr>
              <w:t>Raccomandazione</w:t>
            </w:r>
          </w:p>
        </w:tc>
      </w:tr>
      <w:tr w:rsidR="006B7138">
        <w:trPr>
          <w:trHeight w:val="268"/>
        </w:trPr>
        <w:tc>
          <w:tcPr>
            <w:tcW w:w="2438" w:type="dxa"/>
          </w:tcPr>
          <w:p w:rsidR="006B7138" w:rsidRDefault="001112AC">
            <w:pPr>
              <w:pStyle w:val="TableParagraph"/>
              <w:ind w:left="55"/>
              <w:rPr>
                <w:sz w:val="17"/>
              </w:rPr>
            </w:pPr>
            <w:r>
              <w:rPr>
                <w:sz w:val="17"/>
              </w:rPr>
              <w:t>Zolpidem</w:t>
            </w:r>
          </w:p>
        </w:tc>
        <w:tc>
          <w:tcPr>
            <w:tcW w:w="4252" w:type="dxa"/>
          </w:tcPr>
          <w:p w:rsidR="006B7138" w:rsidRDefault="001112AC">
            <w:pPr>
              <w:pStyle w:val="TableParagraph"/>
              <w:rPr>
                <w:sz w:val="17"/>
              </w:rPr>
            </w:pPr>
            <w:r>
              <w:rPr>
                <w:sz w:val="17"/>
              </w:rPr>
              <w:t>Rischio di effetti avversi sul SNC.</w:t>
            </w:r>
          </w:p>
        </w:tc>
        <w:tc>
          <w:tcPr>
            <w:tcW w:w="4252" w:type="dxa"/>
          </w:tcPr>
          <w:p w:rsidR="006B7138" w:rsidRDefault="001112AC">
            <w:pPr>
              <w:pStyle w:val="TableParagraph"/>
              <w:rPr>
                <w:sz w:val="17"/>
              </w:rPr>
            </w:pPr>
            <w:r>
              <w:rPr>
                <w:sz w:val="17"/>
              </w:rPr>
              <w:t>Evitare l'uso.</w:t>
            </w:r>
          </w:p>
        </w:tc>
      </w:tr>
    </w:tbl>
    <w:p w:rsidR="006B7138" w:rsidRDefault="006B7138">
      <w:pPr>
        <w:spacing w:before="5"/>
        <w:rPr>
          <w:b/>
          <w:sz w:val="16"/>
        </w:rPr>
      </w:pPr>
    </w:p>
    <w:p w:rsidR="006B7138" w:rsidRDefault="001112AC">
      <w:pPr>
        <w:pStyle w:val="Corpotesto"/>
        <w:spacing w:before="100" w:line="328" w:lineRule="auto"/>
        <w:ind w:left="163" w:right="280"/>
      </w:pPr>
      <w:r>
        <w:t>RACCOMANDAZIONI SUI DOSAGGI (ESCLUSI I FARMACI ANTIMICROBICI) IN RELAZIONE ALLA FUNZIONALITA' RENALE</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304"/>
        <w:gridCol w:w="981"/>
        <w:gridCol w:w="619"/>
        <w:gridCol w:w="729"/>
        <w:gridCol w:w="359"/>
        <w:gridCol w:w="776"/>
        <w:gridCol w:w="792"/>
        <w:gridCol w:w="2836"/>
      </w:tblGrid>
      <w:tr w:rsidR="006B7138">
        <w:trPr>
          <w:trHeight w:val="552"/>
        </w:trPr>
        <w:tc>
          <w:tcPr>
            <w:tcW w:w="2268" w:type="dxa"/>
          </w:tcPr>
          <w:p w:rsidR="006B7138" w:rsidRDefault="001112AC">
            <w:pPr>
              <w:pStyle w:val="TableParagraph"/>
              <w:spacing w:before="0" w:line="194" w:lineRule="exact"/>
              <w:ind w:left="55"/>
              <w:rPr>
                <w:b/>
                <w:sz w:val="17"/>
              </w:rPr>
            </w:pPr>
            <w:r>
              <w:rPr>
                <w:b/>
                <w:sz w:val="17"/>
              </w:rPr>
              <w:t>Principio attivo</w:t>
            </w:r>
          </w:p>
        </w:tc>
        <w:tc>
          <w:tcPr>
            <w:tcW w:w="1304" w:type="dxa"/>
          </w:tcPr>
          <w:p w:rsidR="006B7138" w:rsidRDefault="001112AC">
            <w:pPr>
              <w:pStyle w:val="TableParagraph"/>
              <w:spacing w:before="0" w:line="194" w:lineRule="exact"/>
              <w:rPr>
                <w:b/>
                <w:sz w:val="17"/>
              </w:rPr>
            </w:pPr>
            <w:r>
              <w:rPr>
                <w:b/>
                <w:sz w:val="17"/>
              </w:rPr>
              <w:t>CL</w:t>
            </w:r>
          </w:p>
          <w:p w:rsidR="006B7138" w:rsidRDefault="001112AC">
            <w:pPr>
              <w:pStyle w:val="TableParagraph"/>
              <w:spacing w:before="76"/>
              <w:rPr>
                <w:b/>
                <w:sz w:val="17"/>
              </w:rPr>
            </w:pPr>
            <w:r>
              <w:rPr>
                <w:b/>
                <w:sz w:val="17"/>
              </w:rPr>
              <w:t>(mL/min)</w:t>
            </w:r>
          </w:p>
        </w:tc>
        <w:tc>
          <w:tcPr>
            <w:tcW w:w="4256" w:type="dxa"/>
            <w:gridSpan w:val="6"/>
          </w:tcPr>
          <w:p w:rsidR="006B7138" w:rsidRDefault="001112AC">
            <w:pPr>
              <w:pStyle w:val="TableParagraph"/>
              <w:spacing w:before="0" w:line="194" w:lineRule="exact"/>
              <w:rPr>
                <w:b/>
                <w:sz w:val="17"/>
              </w:rPr>
            </w:pPr>
            <w:r>
              <w:rPr>
                <w:b/>
                <w:sz w:val="17"/>
              </w:rPr>
              <w:t>Razionale inappropriatezza</w:t>
            </w:r>
          </w:p>
        </w:tc>
        <w:tc>
          <w:tcPr>
            <w:tcW w:w="2836" w:type="dxa"/>
          </w:tcPr>
          <w:p w:rsidR="006B7138" w:rsidRDefault="001112AC">
            <w:pPr>
              <w:pStyle w:val="TableParagraph"/>
              <w:spacing w:before="0" w:line="194" w:lineRule="exact"/>
              <w:ind w:left="50"/>
              <w:rPr>
                <w:b/>
                <w:sz w:val="17"/>
              </w:rPr>
            </w:pPr>
            <w:r>
              <w:rPr>
                <w:b/>
                <w:sz w:val="17"/>
              </w:rPr>
              <w:t>Raccomandazione</w:t>
            </w:r>
          </w:p>
        </w:tc>
      </w:tr>
      <w:tr w:rsidR="006B7138">
        <w:trPr>
          <w:trHeight w:val="552"/>
        </w:trPr>
        <w:tc>
          <w:tcPr>
            <w:tcW w:w="2268" w:type="dxa"/>
          </w:tcPr>
          <w:p w:rsidR="006B7138" w:rsidRDefault="001112AC">
            <w:pPr>
              <w:pStyle w:val="TableParagraph"/>
              <w:spacing w:before="0" w:line="194" w:lineRule="exact"/>
              <w:ind w:left="55"/>
              <w:rPr>
                <w:sz w:val="17"/>
              </w:rPr>
            </w:pPr>
            <w:r>
              <w:rPr>
                <w:sz w:val="17"/>
              </w:rPr>
              <w:t>Levetiracetam</w:t>
            </w:r>
          </w:p>
        </w:tc>
        <w:tc>
          <w:tcPr>
            <w:tcW w:w="1304" w:type="dxa"/>
          </w:tcPr>
          <w:p w:rsidR="006B7138" w:rsidRDefault="001112AC">
            <w:pPr>
              <w:pStyle w:val="TableParagraph"/>
              <w:spacing w:before="0" w:line="194" w:lineRule="exact"/>
              <w:rPr>
                <w:sz w:val="17"/>
              </w:rPr>
            </w:pPr>
            <w:r>
              <w:rPr>
                <w:sz w:val="17"/>
              </w:rPr>
              <w:t>&amp;le;80</w:t>
            </w:r>
          </w:p>
        </w:tc>
        <w:tc>
          <w:tcPr>
            <w:tcW w:w="981" w:type="dxa"/>
            <w:tcBorders>
              <w:right w:val="nil"/>
            </w:tcBorders>
          </w:tcPr>
          <w:p w:rsidR="006B7138" w:rsidRDefault="001112AC">
            <w:pPr>
              <w:pStyle w:val="TableParagraph"/>
              <w:spacing w:before="0" w:line="194" w:lineRule="exact"/>
              <w:rPr>
                <w:sz w:val="17"/>
              </w:rPr>
            </w:pPr>
            <w:r>
              <w:rPr>
                <w:sz w:val="17"/>
              </w:rPr>
              <w:t>Rischio di</w:t>
            </w:r>
          </w:p>
          <w:p w:rsidR="006B7138" w:rsidRDefault="001112AC">
            <w:pPr>
              <w:pStyle w:val="TableParagraph"/>
              <w:spacing w:before="77"/>
              <w:rPr>
                <w:sz w:val="17"/>
              </w:rPr>
            </w:pPr>
            <w:r>
              <w:rPr>
                <w:sz w:val="17"/>
              </w:rPr>
              <w:t>centrale.</w:t>
            </w:r>
          </w:p>
        </w:tc>
        <w:tc>
          <w:tcPr>
            <w:tcW w:w="619" w:type="dxa"/>
            <w:tcBorders>
              <w:left w:val="nil"/>
              <w:right w:val="nil"/>
            </w:tcBorders>
          </w:tcPr>
          <w:p w:rsidR="006B7138" w:rsidRDefault="001112AC">
            <w:pPr>
              <w:pStyle w:val="TableParagraph"/>
              <w:spacing w:before="0" w:line="194" w:lineRule="exact"/>
              <w:ind w:left="62"/>
              <w:rPr>
                <w:sz w:val="17"/>
              </w:rPr>
            </w:pPr>
            <w:r>
              <w:rPr>
                <w:sz w:val="17"/>
              </w:rPr>
              <w:t>effetti</w:t>
            </w:r>
          </w:p>
        </w:tc>
        <w:tc>
          <w:tcPr>
            <w:tcW w:w="729" w:type="dxa"/>
            <w:tcBorders>
              <w:left w:val="nil"/>
              <w:right w:val="nil"/>
            </w:tcBorders>
          </w:tcPr>
          <w:p w:rsidR="006B7138" w:rsidRDefault="001112AC">
            <w:pPr>
              <w:pStyle w:val="TableParagraph"/>
              <w:spacing w:before="0" w:line="194" w:lineRule="exact"/>
              <w:ind w:left="62"/>
              <w:rPr>
                <w:sz w:val="17"/>
              </w:rPr>
            </w:pPr>
            <w:r>
              <w:rPr>
                <w:sz w:val="17"/>
              </w:rPr>
              <w:t>avversi</w:t>
            </w:r>
          </w:p>
        </w:tc>
        <w:tc>
          <w:tcPr>
            <w:tcW w:w="359" w:type="dxa"/>
            <w:tcBorders>
              <w:left w:val="nil"/>
              <w:right w:val="nil"/>
            </w:tcBorders>
          </w:tcPr>
          <w:p w:rsidR="006B7138" w:rsidRDefault="001112AC">
            <w:pPr>
              <w:pStyle w:val="TableParagraph"/>
              <w:spacing w:before="0" w:line="194" w:lineRule="exact"/>
              <w:ind w:left="62"/>
              <w:rPr>
                <w:sz w:val="17"/>
              </w:rPr>
            </w:pPr>
            <w:r>
              <w:rPr>
                <w:sz w:val="17"/>
              </w:rPr>
              <w:t>sul</w:t>
            </w:r>
          </w:p>
        </w:tc>
        <w:tc>
          <w:tcPr>
            <w:tcW w:w="776" w:type="dxa"/>
            <w:tcBorders>
              <w:left w:val="nil"/>
              <w:right w:val="nil"/>
            </w:tcBorders>
          </w:tcPr>
          <w:p w:rsidR="006B7138" w:rsidRDefault="001112AC">
            <w:pPr>
              <w:pStyle w:val="TableParagraph"/>
              <w:spacing w:before="0" w:line="194" w:lineRule="exact"/>
              <w:ind w:left="61"/>
              <w:rPr>
                <w:sz w:val="17"/>
              </w:rPr>
            </w:pPr>
            <w:r>
              <w:rPr>
                <w:sz w:val="17"/>
              </w:rPr>
              <w:t>sistema</w:t>
            </w:r>
          </w:p>
        </w:tc>
        <w:tc>
          <w:tcPr>
            <w:tcW w:w="792" w:type="dxa"/>
            <w:tcBorders>
              <w:left w:val="nil"/>
            </w:tcBorders>
          </w:tcPr>
          <w:p w:rsidR="006B7138" w:rsidRDefault="001112AC">
            <w:pPr>
              <w:pStyle w:val="TableParagraph"/>
              <w:spacing w:before="0" w:line="194" w:lineRule="exact"/>
              <w:ind w:left="60"/>
              <w:rPr>
                <w:sz w:val="17"/>
              </w:rPr>
            </w:pPr>
            <w:r>
              <w:rPr>
                <w:sz w:val="17"/>
              </w:rPr>
              <w:t>nervoso</w:t>
            </w:r>
          </w:p>
        </w:tc>
        <w:tc>
          <w:tcPr>
            <w:tcW w:w="2836" w:type="dxa"/>
          </w:tcPr>
          <w:p w:rsidR="006B7138" w:rsidRDefault="001112AC">
            <w:pPr>
              <w:pStyle w:val="TableParagraph"/>
              <w:spacing w:before="0" w:line="194" w:lineRule="exact"/>
              <w:ind w:left="50"/>
              <w:rPr>
                <w:sz w:val="17"/>
              </w:rPr>
            </w:pPr>
            <w:r>
              <w:rPr>
                <w:sz w:val="17"/>
              </w:rPr>
              <w:t>Ridurre la dose.</w:t>
            </w:r>
          </w:p>
        </w:tc>
      </w:tr>
    </w:tbl>
    <w:p w:rsidR="006B7138" w:rsidRDefault="006B7138">
      <w:pPr>
        <w:rPr>
          <w:b/>
          <w:sz w:val="20"/>
        </w:rPr>
      </w:pPr>
    </w:p>
    <w:p w:rsidR="006B7138" w:rsidRDefault="001112AC">
      <w:pPr>
        <w:pStyle w:val="Corpotesto"/>
        <w:spacing w:before="171"/>
        <w:ind w:left="163"/>
      </w:pPr>
      <w:r>
        <w:t>INAPPROPRIATEZZE SECONDO I CRITERI STOPP</w:t>
      </w:r>
    </w:p>
    <w:p w:rsidR="006B7138" w:rsidRDefault="006B7138">
      <w:pPr>
        <w:spacing w:before="9"/>
        <w:rPr>
          <w:b/>
          <w:sz w:val="15"/>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10942" w:type="dxa"/>
            <w:gridSpan w:val="2"/>
          </w:tcPr>
          <w:p w:rsidR="006B7138" w:rsidRDefault="001112AC">
            <w:pPr>
              <w:pStyle w:val="TableParagraph"/>
              <w:ind w:left="55"/>
              <w:rPr>
                <w:b/>
                <w:sz w:val="17"/>
              </w:rPr>
            </w:pPr>
            <w:r>
              <w:rPr>
                <w:b/>
                <w:sz w:val="17"/>
              </w:rPr>
              <w:t>FARMACI ANTIAGGREGANTI / ANTICOAGULANTI</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1118"/>
        </w:trPr>
        <w:tc>
          <w:tcPr>
            <w:tcW w:w="2438" w:type="dxa"/>
          </w:tcPr>
          <w:p w:rsidR="006B7138" w:rsidRDefault="001112AC">
            <w:pPr>
              <w:pStyle w:val="TableParagraph"/>
              <w:ind w:left="55"/>
              <w:rPr>
                <w:sz w:val="17"/>
              </w:rPr>
            </w:pPr>
            <w:r>
              <w:rPr>
                <w:sz w:val="17"/>
              </w:rPr>
              <w:t>Warfarin</w:t>
            </w:r>
          </w:p>
        </w:tc>
        <w:tc>
          <w:tcPr>
            <w:tcW w:w="8504" w:type="dxa"/>
          </w:tcPr>
          <w:p w:rsidR="006B7138" w:rsidRDefault="001112AC">
            <w:pPr>
              <w:pStyle w:val="TableParagraph"/>
              <w:spacing w:line="328" w:lineRule="auto"/>
              <w:ind w:right="38"/>
              <w:jc w:val="both"/>
              <w:rPr>
                <w:sz w:val="17"/>
              </w:rPr>
            </w:pPr>
            <w:r>
              <w:rPr>
                <w:sz w:val="17"/>
              </w:rPr>
              <w:t>Mancano evidenze favorevoli a suggerire l'uso di anticoagulanti orali:&lt;ul&gt;&lt;li&gt;come trattamento di prima scelta nelle trombosi venose profonde non complicate per una durata maggiore di 6 mesi&lt;/li&gt;&lt;li&gt;come trattamento di prima scelta nelle embolie polmonari non complicate per una</w:t>
            </w:r>
          </w:p>
          <w:p w:rsidR="006B7138" w:rsidRDefault="001112AC">
            <w:pPr>
              <w:pStyle w:val="TableParagraph"/>
              <w:spacing w:before="1"/>
              <w:jc w:val="both"/>
              <w:rPr>
                <w:sz w:val="17"/>
              </w:rPr>
            </w:pPr>
            <w:r>
              <w:rPr>
                <w:sz w:val="17"/>
              </w:rPr>
              <w:t>durata maggiore di 12 mesi.&lt;/li&gt;&lt;ul&gt;</w:t>
            </w:r>
          </w:p>
        </w:tc>
      </w:tr>
      <w:tr w:rsidR="006B7138">
        <w:trPr>
          <w:trHeight w:val="835"/>
        </w:trPr>
        <w:tc>
          <w:tcPr>
            <w:tcW w:w="2438" w:type="dxa"/>
          </w:tcPr>
          <w:p w:rsidR="006B7138" w:rsidRDefault="001112AC">
            <w:pPr>
              <w:pStyle w:val="TableParagraph"/>
              <w:ind w:left="55"/>
              <w:rPr>
                <w:sz w:val="17"/>
              </w:rPr>
            </w:pPr>
            <w:r>
              <w:rPr>
                <w:sz w:val="17"/>
              </w:rPr>
              <w:t>Warfarin</w:t>
            </w:r>
          </w:p>
        </w:tc>
        <w:tc>
          <w:tcPr>
            <w:tcW w:w="8504" w:type="dxa"/>
          </w:tcPr>
          <w:p w:rsidR="006B7138" w:rsidRDefault="001112AC">
            <w:pPr>
              <w:pStyle w:val="TableParagraph"/>
              <w:spacing w:line="328" w:lineRule="auto"/>
              <w:rPr>
                <w:sz w:val="17"/>
              </w:rPr>
            </w:pPr>
            <w:r>
              <w:rPr>
                <w:sz w:val="17"/>
              </w:rPr>
              <w:t>L'uso di acido acetilsalicilico, clopidogrel, dipiridamolo o anticoagulanti orali, in soggetti con malattie emorragiche concomitanti espone al rischio di gravi sanguinamenti, ipertensione grave</w:t>
            </w:r>
          </w:p>
          <w:p w:rsidR="006B7138" w:rsidRDefault="001112AC">
            <w:pPr>
              <w:pStyle w:val="TableParagraph"/>
              <w:spacing w:before="1"/>
              <w:rPr>
                <w:sz w:val="17"/>
              </w:rPr>
            </w:pPr>
            <w:r>
              <w:rPr>
                <w:sz w:val="17"/>
              </w:rPr>
              <w:t>non controllata,diatesi emorragica, emorragie recenti spontanee.</w:t>
            </w:r>
          </w:p>
        </w:tc>
      </w:tr>
      <w:tr w:rsidR="006B7138">
        <w:trPr>
          <w:trHeight w:val="268"/>
        </w:trPr>
        <w:tc>
          <w:tcPr>
            <w:tcW w:w="10942" w:type="dxa"/>
            <w:gridSpan w:val="2"/>
          </w:tcPr>
          <w:p w:rsidR="006B7138" w:rsidRDefault="001112AC">
            <w:pPr>
              <w:pStyle w:val="TableParagraph"/>
              <w:ind w:left="55"/>
              <w:rPr>
                <w:b/>
                <w:sz w:val="17"/>
              </w:rPr>
            </w:pPr>
            <w:r>
              <w:rPr>
                <w:b/>
                <w:sz w:val="17"/>
              </w:rPr>
              <w:t>FARMACI CHE AUMENTANO RISCHIO CADUTE (nei soggetti predisposti)</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268"/>
        </w:trPr>
        <w:tc>
          <w:tcPr>
            <w:tcW w:w="2438" w:type="dxa"/>
          </w:tcPr>
          <w:p w:rsidR="006B7138" w:rsidRDefault="001112AC">
            <w:pPr>
              <w:pStyle w:val="TableParagraph"/>
              <w:ind w:left="55"/>
              <w:rPr>
                <w:sz w:val="17"/>
              </w:rPr>
            </w:pPr>
            <w:r>
              <w:rPr>
                <w:sz w:val="17"/>
              </w:rPr>
              <w:t>Zolpidem</w:t>
            </w:r>
          </w:p>
        </w:tc>
        <w:tc>
          <w:tcPr>
            <w:tcW w:w="8504" w:type="dxa"/>
          </w:tcPr>
          <w:p w:rsidR="006B7138" w:rsidRDefault="001112AC">
            <w:pPr>
              <w:pStyle w:val="TableParagraph"/>
              <w:rPr>
                <w:sz w:val="17"/>
              </w:rPr>
            </w:pPr>
            <w:r>
              <w:rPr>
                <w:sz w:val="17"/>
              </w:rPr>
              <w:t>L'uso degli Z-drugs può causare protratta sedazione diurna e atassia.</w:t>
            </w:r>
          </w:p>
        </w:tc>
      </w:tr>
      <w:tr w:rsidR="006B7138">
        <w:trPr>
          <w:trHeight w:val="1118"/>
        </w:trPr>
        <w:tc>
          <w:tcPr>
            <w:tcW w:w="2438" w:type="dxa"/>
          </w:tcPr>
          <w:p w:rsidR="006B7138" w:rsidRDefault="001112AC">
            <w:pPr>
              <w:pStyle w:val="TableParagraph"/>
              <w:spacing w:line="328" w:lineRule="auto"/>
              <w:ind w:left="55" w:right="1213"/>
              <w:rPr>
                <w:sz w:val="17"/>
              </w:rPr>
            </w:pPr>
            <w:r>
              <w:rPr>
                <w:sz w:val="17"/>
              </w:rPr>
              <w:t>Furosemide Nitroglicerina Amlodipina</w:t>
            </w:r>
          </w:p>
          <w:p w:rsidR="006B7138" w:rsidRDefault="001112AC">
            <w:pPr>
              <w:pStyle w:val="TableParagraph"/>
              <w:spacing w:before="1"/>
              <w:ind w:left="55"/>
              <w:rPr>
                <w:sz w:val="17"/>
              </w:rPr>
            </w:pPr>
            <w:r>
              <w:rPr>
                <w:sz w:val="17"/>
              </w:rPr>
              <w:t>Valsartan</w:t>
            </w:r>
          </w:p>
        </w:tc>
        <w:tc>
          <w:tcPr>
            <w:tcW w:w="8504" w:type="dxa"/>
          </w:tcPr>
          <w:p w:rsidR="006B7138" w:rsidRDefault="001112AC">
            <w:pPr>
              <w:pStyle w:val="TableParagraph"/>
              <w:spacing w:line="328" w:lineRule="auto"/>
              <w:ind w:right="37"/>
              <w:jc w:val="both"/>
              <w:rPr>
                <w:sz w:val="17"/>
              </w:rPr>
            </w:pPr>
            <w:r>
              <w:rPr>
                <w:sz w:val="17"/>
              </w:rPr>
              <w:t>I farmaci vasodilatatori e che riducono la pressione arteriosa andrebbero evitati in caso di persistente ipotensione posturale (ricorrente caduta della pressione sistolica &gt;20mmHg) per l?aumentato rischio di sincope e di cadute.</w:t>
            </w:r>
          </w:p>
        </w:tc>
      </w:tr>
      <w:tr w:rsidR="006B7138">
        <w:trPr>
          <w:trHeight w:val="268"/>
        </w:trPr>
        <w:tc>
          <w:tcPr>
            <w:tcW w:w="10942" w:type="dxa"/>
            <w:gridSpan w:val="2"/>
          </w:tcPr>
          <w:p w:rsidR="006B7138" w:rsidRDefault="001112AC">
            <w:pPr>
              <w:pStyle w:val="TableParagraph"/>
              <w:ind w:left="55"/>
              <w:rPr>
                <w:b/>
                <w:sz w:val="17"/>
              </w:rPr>
            </w:pPr>
            <w:r>
              <w:rPr>
                <w:b/>
                <w:sz w:val="17"/>
              </w:rPr>
              <w:t>SISTEMA CARDIOVASCOLARE</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1685"/>
        </w:trPr>
        <w:tc>
          <w:tcPr>
            <w:tcW w:w="2438" w:type="dxa"/>
          </w:tcPr>
          <w:p w:rsidR="006B7138" w:rsidRDefault="001112AC">
            <w:pPr>
              <w:pStyle w:val="TableParagraph"/>
              <w:ind w:left="55"/>
              <w:rPr>
                <w:sz w:val="17"/>
              </w:rPr>
            </w:pPr>
            <w:r>
              <w:rPr>
                <w:sz w:val="17"/>
              </w:rPr>
              <w:t>Furosemide</w:t>
            </w:r>
          </w:p>
        </w:tc>
        <w:tc>
          <w:tcPr>
            <w:tcW w:w="8504" w:type="dxa"/>
          </w:tcPr>
          <w:p w:rsidR="006B7138" w:rsidRDefault="001112AC">
            <w:pPr>
              <w:pStyle w:val="TableParagraph"/>
              <w:spacing w:line="328" w:lineRule="auto"/>
              <w:ind w:right="39"/>
              <w:jc w:val="both"/>
              <w:rPr>
                <w:sz w:val="17"/>
              </w:rPr>
            </w:pPr>
            <w:r>
              <w:rPr>
                <w:sz w:val="17"/>
              </w:rPr>
              <w:t>L'uso dei diuretici dell'ansa dovrebbe essere evitato:&lt;ul&gt;&lt;li&gt;in caso di edema localizzato alle caviglie senza segni clinici di scompenso cardiaco,insufficienza epatica, sindrome nefrosica o insufficienza reale. Mancano evidenze di efficacia, la terapia compressiva è più appropriata.&lt;/li&gt;&lt;li&gt;come monoterapia di prima scelta per l'ipertensione, poiché sono disponibili alternative più sicure e più efficaci.&lt;/li&gt;&lt;li&gt;nel trattamento dell'ipertensione con presenza di</w:t>
            </w:r>
          </w:p>
          <w:p w:rsidR="006B7138" w:rsidRDefault="001112AC">
            <w:pPr>
              <w:pStyle w:val="TableParagraph"/>
              <w:spacing w:before="2"/>
              <w:jc w:val="both"/>
              <w:rPr>
                <w:sz w:val="17"/>
              </w:rPr>
            </w:pPr>
            <w:r>
              <w:rPr>
                <w:sz w:val="17"/>
              </w:rPr>
              <w:t>incontinenza urinaria, perchè potrebbe peggiorare l'incontinenza.&lt;/li&gt;&lt;/ul&gt;</w:t>
            </w:r>
          </w:p>
        </w:tc>
      </w:tr>
      <w:tr w:rsidR="006B7138">
        <w:trPr>
          <w:trHeight w:val="268"/>
        </w:trPr>
        <w:tc>
          <w:tcPr>
            <w:tcW w:w="2438" w:type="dxa"/>
          </w:tcPr>
          <w:p w:rsidR="006B7138" w:rsidRDefault="001112AC">
            <w:pPr>
              <w:pStyle w:val="TableParagraph"/>
              <w:ind w:left="55"/>
              <w:rPr>
                <w:sz w:val="17"/>
              </w:rPr>
            </w:pPr>
            <w:r>
              <w:rPr>
                <w:sz w:val="17"/>
              </w:rPr>
              <w:t>Valsartan</w:t>
            </w:r>
          </w:p>
        </w:tc>
        <w:tc>
          <w:tcPr>
            <w:tcW w:w="8504" w:type="dxa"/>
          </w:tcPr>
          <w:p w:rsidR="006B7138" w:rsidRDefault="001112AC">
            <w:pPr>
              <w:pStyle w:val="TableParagraph"/>
              <w:rPr>
                <w:sz w:val="17"/>
              </w:rPr>
            </w:pPr>
            <w:r>
              <w:rPr>
                <w:sz w:val="17"/>
              </w:rPr>
              <w:t>L'uso degli ACEi o dei sartani dovrebbe essere evitato nei pazienti con iperpotassiemia.</w:t>
            </w:r>
          </w:p>
        </w:tc>
      </w:tr>
      <w:tr w:rsidR="006B7138">
        <w:trPr>
          <w:trHeight w:val="268"/>
        </w:trPr>
        <w:tc>
          <w:tcPr>
            <w:tcW w:w="10942" w:type="dxa"/>
            <w:gridSpan w:val="2"/>
          </w:tcPr>
          <w:p w:rsidR="006B7138" w:rsidRDefault="001112AC">
            <w:pPr>
              <w:pStyle w:val="TableParagraph"/>
              <w:ind w:left="55"/>
              <w:rPr>
                <w:b/>
                <w:sz w:val="17"/>
              </w:rPr>
            </w:pPr>
            <w:r>
              <w:rPr>
                <w:b/>
                <w:sz w:val="17"/>
              </w:rPr>
              <w:t>SISTEMA ENDOCRINO</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551"/>
        </w:trPr>
        <w:tc>
          <w:tcPr>
            <w:tcW w:w="2438" w:type="dxa"/>
          </w:tcPr>
          <w:p w:rsidR="006B7138" w:rsidRDefault="001112AC">
            <w:pPr>
              <w:pStyle w:val="TableParagraph"/>
              <w:ind w:left="55"/>
              <w:rPr>
                <w:sz w:val="17"/>
              </w:rPr>
            </w:pPr>
            <w:r>
              <w:rPr>
                <w:sz w:val="17"/>
              </w:rPr>
              <w:t>Metformina</w:t>
            </w:r>
          </w:p>
          <w:p w:rsidR="006B7138" w:rsidRDefault="001112AC">
            <w:pPr>
              <w:pStyle w:val="TableParagraph"/>
              <w:spacing w:before="77"/>
              <w:ind w:left="55"/>
              <w:rPr>
                <w:sz w:val="17"/>
              </w:rPr>
            </w:pPr>
            <w:r>
              <w:rPr>
                <w:sz w:val="17"/>
              </w:rPr>
              <w:t>Glibenclamide</w:t>
            </w:r>
          </w:p>
        </w:tc>
        <w:tc>
          <w:tcPr>
            <w:tcW w:w="8504" w:type="dxa"/>
          </w:tcPr>
          <w:p w:rsidR="006B7138" w:rsidRDefault="001112AC">
            <w:pPr>
              <w:pStyle w:val="TableParagraph"/>
              <w:rPr>
                <w:sz w:val="17"/>
              </w:rPr>
            </w:pPr>
            <w:r>
              <w:rPr>
                <w:sz w:val="17"/>
              </w:rPr>
              <w:t>L'uso di glibenclamide, clorpropamide, o glimepiride dovrebbe essere evitato in soggetti con</w:t>
            </w:r>
          </w:p>
          <w:p w:rsidR="006B7138" w:rsidRDefault="001112AC">
            <w:pPr>
              <w:pStyle w:val="TableParagraph"/>
              <w:spacing w:before="77"/>
              <w:rPr>
                <w:sz w:val="17"/>
              </w:rPr>
            </w:pPr>
            <w:r>
              <w:rPr>
                <w:sz w:val="17"/>
              </w:rPr>
              <w:t>diabete mellito di tipo II, per l'aumentato rischio di ipoglicemia prolungata.</w:t>
            </w:r>
          </w:p>
        </w:tc>
      </w:tr>
      <w:tr w:rsidR="006B7138">
        <w:trPr>
          <w:trHeight w:val="268"/>
        </w:trPr>
        <w:tc>
          <w:tcPr>
            <w:tcW w:w="10942" w:type="dxa"/>
            <w:gridSpan w:val="2"/>
          </w:tcPr>
          <w:p w:rsidR="006B7138" w:rsidRDefault="001112AC">
            <w:pPr>
              <w:pStyle w:val="TableParagraph"/>
              <w:ind w:left="55"/>
              <w:rPr>
                <w:b/>
                <w:sz w:val="17"/>
              </w:rPr>
            </w:pPr>
            <w:r>
              <w:rPr>
                <w:b/>
                <w:sz w:val="17"/>
              </w:rPr>
              <w:t>SISTEMA GASTROINTESTINALE</w:t>
            </w:r>
          </w:p>
        </w:tc>
      </w:tr>
    </w:tbl>
    <w:p w:rsidR="006B7138" w:rsidRDefault="006B7138">
      <w:pPr>
        <w:rPr>
          <w:sz w:val="17"/>
        </w:rPr>
        <w:sectPr w:rsidR="006B7138">
          <w:pgSz w:w="11910" w:h="16840"/>
          <w:pgMar w:top="800" w:right="280" w:bottom="680" w:left="460" w:header="582" w:footer="494" w:gutter="0"/>
          <w:cols w:space="720"/>
        </w:sectPr>
      </w:pPr>
    </w:p>
    <w:p w:rsidR="006B7138" w:rsidRDefault="006B7138">
      <w:pPr>
        <w:spacing w:before="11" w:after="1"/>
        <w:rPr>
          <w:b/>
          <w:sz w:val="26"/>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8504"/>
      </w:tblGrid>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835"/>
        </w:trPr>
        <w:tc>
          <w:tcPr>
            <w:tcW w:w="2438" w:type="dxa"/>
          </w:tcPr>
          <w:p w:rsidR="006B7138" w:rsidRDefault="001112AC">
            <w:pPr>
              <w:pStyle w:val="TableParagraph"/>
              <w:ind w:left="55"/>
              <w:rPr>
                <w:sz w:val="17"/>
              </w:rPr>
            </w:pPr>
            <w:r>
              <w:rPr>
                <w:sz w:val="17"/>
              </w:rPr>
              <w:t>Pantoprazolo</w:t>
            </w:r>
          </w:p>
        </w:tc>
        <w:tc>
          <w:tcPr>
            <w:tcW w:w="8504" w:type="dxa"/>
          </w:tcPr>
          <w:p w:rsidR="006B7138" w:rsidRDefault="001112AC">
            <w:pPr>
              <w:pStyle w:val="TableParagraph"/>
              <w:spacing w:line="328" w:lineRule="auto"/>
              <w:rPr>
                <w:sz w:val="17"/>
              </w:rPr>
            </w:pPr>
            <w:r>
              <w:rPr>
                <w:sz w:val="17"/>
              </w:rPr>
              <w:t>L'uso degli inibitori di pompa a pieno dosaggio per un periodo &gt; 8 settimane in caso di ulcera peptica o esofagite erosiva andrebbe evitato; è invece indicata una riduzione della dose o una</w:t>
            </w:r>
          </w:p>
          <w:p w:rsidR="006B7138" w:rsidRDefault="001112AC">
            <w:pPr>
              <w:pStyle w:val="TableParagraph"/>
              <w:spacing w:before="1"/>
              <w:rPr>
                <w:sz w:val="17"/>
              </w:rPr>
            </w:pPr>
            <w:r>
              <w:rPr>
                <w:sz w:val="17"/>
              </w:rPr>
              <w:t>minor durata della terapia.</w:t>
            </w:r>
          </w:p>
        </w:tc>
      </w:tr>
      <w:tr w:rsidR="006B7138">
        <w:trPr>
          <w:trHeight w:val="268"/>
        </w:trPr>
        <w:tc>
          <w:tcPr>
            <w:tcW w:w="10942" w:type="dxa"/>
            <w:gridSpan w:val="2"/>
          </w:tcPr>
          <w:p w:rsidR="006B7138" w:rsidRDefault="001112AC">
            <w:pPr>
              <w:pStyle w:val="TableParagraph"/>
              <w:ind w:left="55"/>
              <w:rPr>
                <w:b/>
                <w:sz w:val="17"/>
              </w:rPr>
            </w:pPr>
            <w:r>
              <w:rPr>
                <w:b/>
                <w:sz w:val="17"/>
              </w:rPr>
              <w:t>SISTEMA NERVOSO E FARMACI PSICOTROPI</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1118"/>
        </w:trPr>
        <w:tc>
          <w:tcPr>
            <w:tcW w:w="2438" w:type="dxa"/>
          </w:tcPr>
          <w:p w:rsidR="006B7138" w:rsidRDefault="001112AC">
            <w:pPr>
              <w:pStyle w:val="TableParagraph"/>
              <w:ind w:left="55"/>
              <w:rPr>
                <w:sz w:val="17"/>
              </w:rPr>
            </w:pPr>
            <w:r>
              <w:rPr>
                <w:sz w:val="17"/>
              </w:rPr>
              <w:t>Sertralina</w:t>
            </w:r>
          </w:p>
        </w:tc>
        <w:tc>
          <w:tcPr>
            <w:tcW w:w="8504" w:type="dxa"/>
          </w:tcPr>
          <w:p w:rsidR="006B7138" w:rsidRDefault="001112AC">
            <w:pPr>
              <w:pStyle w:val="TableParagraph"/>
              <w:spacing w:line="328" w:lineRule="auto"/>
              <w:ind w:right="40"/>
              <w:jc w:val="both"/>
              <w:rPr>
                <w:sz w:val="17"/>
              </w:rPr>
            </w:pPr>
            <w:r>
              <w:rPr>
                <w:sz w:val="17"/>
              </w:rPr>
              <w:t>L'uso degli inibitori selettivi della ricaptazione della serotonina dovrebbe essere evitato nei soggetti con una storia di iponatremia clinicamente significativa (iponatremia di tipo non-iatrogeno con sodiemia &lt;130 mmol/l nei due mesi precedenti), per il rischio di esacerbare o</w:t>
            </w:r>
          </w:p>
          <w:p w:rsidR="006B7138" w:rsidRDefault="001112AC">
            <w:pPr>
              <w:pStyle w:val="TableParagraph"/>
              <w:spacing w:before="1"/>
              <w:jc w:val="both"/>
              <w:rPr>
                <w:sz w:val="17"/>
              </w:rPr>
            </w:pPr>
            <w:r>
              <w:rPr>
                <w:sz w:val="17"/>
              </w:rPr>
              <w:t>peggioare l'iponatremia.</w:t>
            </w:r>
          </w:p>
        </w:tc>
      </w:tr>
      <w:tr w:rsidR="006B7138">
        <w:trPr>
          <w:trHeight w:val="268"/>
        </w:trPr>
        <w:tc>
          <w:tcPr>
            <w:tcW w:w="10942" w:type="dxa"/>
            <w:gridSpan w:val="2"/>
          </w:tcPr>
          <w:p w:rsidR="006B7138" w:rsidRDefault="001112AC">
            <w:pPr>
              <w:pStyle w:val="TableParagraph"/>
              <w:ind w:left="55"/>
              <w:rPr>
                <w:b/>
                <w:sz w:val="17"/>
              </w:rPr>
            </w:pPr>
            <w:r>
              <w:rPr>
                <w:b/>
                <w:sz w:val="17"/>
              </w:rPr>
              <w:t>SISTEMA RENALE</w:t>
            </w:r>
          </w:p>
        </w:tc>
      </w:tr>
      <w:tr w:rsidR="006B7138">
        <w:trPr>
          <w:trHeight w:val="268"/>
        </w:trPr>
        <w:tc>
          <w:tcPr>
            <w:tcW w:w="2438" w:type="dxa"/>
          </w:tcPr>
          <w:p w:rsidR="006B7138" w:rsidRDefault="001112AC">
            <w:pPr>
              <w:pStyle w:val="TableParagraph"/>
              <w:ind w:left="55"/>
              <w:rPr>
                <w:b/>
                <w:sz w:val="17"/>
              </w:rPr>
            </w:pPr>
            <w:r>
              <w:rPr>
                <w:b/>
                <w:sz w:val="17"/>
              </w:rPr>
              <w:t>Principio attivo</w:t>
            </w:r>
          </w:p>
        </w:tc>
        <w:tc>
          <w:tcPr>
            <w:tcW w:w="8504" w:type="dxa"/>
          </w:tcPr>
          <w:p w:rsidR="006B7138" w:rsidRDefault="001112AC">
            <w:pPr>
              <w:pStyle w:val="TableParagraph"/>
              <w:rPr>
                <w:b/>
                <w:sz w:val="17"/>
              </w:rPr>
            </w:pPr>
            <w:r>
              <w:rPr>
                <w:b/>
                <w:sz w:val="17"/>
              </w:rPr>
              <w:t>Note</w:t>
            </w:r>
          </w:p>
        </w:tc>
      </w:tr>
      <w:tr w:rsidR="006B7138">
        <w:trPr>
          <w:trHeight w:val="552"/>
        </w:trPr>
        <w:tc>
          <w:tcPr>
            <w:tcW w:w="2438" w:type="dxa"/>
          </w:tcPr>
          <w:p w:rsidR="006B7138" w:rsidRDefault="001112AC">
            <w:pPr>
              <w:pStyle w:val="TableParagraph"/>
              <w:ind w:left="55"/>
              <w:rPr>
                <w:sz w:val="17"/>
              </w:rPr>
            </w:pPr>
            <w:r>
              <w:rPr>
                <w:sz w:val="17"/>
              </w:rPr>
              <w:t>Metformina</w:t>
            </w:r>
          </w:p>
          <w:p w:rsidR="006B7138" w:rsidRDefault="001112AC">
            <w:pPr>
              <w:pStyle w:val="TableParagraph"/>
              <w:spacing w:before="77"/>
              <w:ind w:left="55"/>
              <w:rPr>
                <w:sz w:val="17"/>
              </w:rPr>
            </w:pPr>
            <w:r>
              <w:rPr>
                <w:sz w:val="17"/>
              </w:rPr>
              <w:t>Glibenclamide</w:t>
            </w:r>
          </w:p>
        </w:tc>
        <w:tc>
          <w:tcPr>
            <w:tcW w:w="8504" w:type="dxa"/>
          </w:tcPr>
          <w:p w:rsidR="006B7138" w:rsidRDefault="001112AC">
            <w:pPr>
              <w:pStyle w:val="TableParagraph"/>
              <w:rPr>
                <w:sz w:val="17"/>
              </w:rPr>
            </w:pPr>
            <w:r>
              <w:rPr>
                <w:sz w:val="17"/>
              </w:rPr>
              <w:t>L'uso di metformina in presenza di eGFR &lt; 30 mL/min/1.73m&lt;sup&gt;2&lt;/sup&gt; aumenta il rischio</w:t>
            </w:r>
          </w:p>
          <w:p w:rsidR="006B7138" w:rsidRDefault="001112AC">
            <w:pPr>
              <w:pStyle w:val="TableParagraph"/>
              <w:spacing w:before="77"/>
              <w:rPr>
                <w:sz w:val="17"/>
              </w:rPr>
            </w:pPr>
            <w:r>
              <w:rPr>
                <w:sz w:val="17"/>
              </w:rPr>
              <w:t>di acidosi lattica.</w:t>
            </w:r>
          </w:p>
        </w:tc>
      </w:tr>
    </w:tbl>
    <w:p w:rsidR="006B7138" w:rsidRDefault="006B7138">
      <w:pPr>
        <w:rPr>
          <w:b/>
          <w:sz w:val="20"/>
        </w:rPr>
      </w:pPr>
    </w:p>
    <w:p w:rsidR="006B7138" w:rsidRDefault="006B7138">
      <w:pPr>
        <w:rPr>
          <w:b/>
          <w:sz w:val="20"/>
        </w:rPr>
      </w:pPr>
    </w:p>
    <w:p w:rsidR="006B7138" w:rsidRDefault="006B7138">
      <w:pPr>
        <w:rPr>
          <w:b/>
          <w:sz w:val="20"/>
        </w:rPr>
      </w:pPr>
    </w:p>
    <w:p w:rsidR="006B7138" w:rsidRDefault="006B7138">
      <w:pPr>
        <w:spacing w:before="11"/>
        <w:rPr>
          <w:b/>
        </w:rPr>
      </w:pPr>
    </w:p>
    <w:p w:rsidR="006B7138" w:rsidRDefault="001112AC">
      <w:pPr>
        <w:pStyle w:val="Corpotesto"/>
        <w:ind w:right="2609"/>
        <w:jc w:val="right"/>
      </w:pPr>
      <w:r>
        <w:t>FIRMA</w:t>
      </w:r>
    </w:p>
    <w:p w:rsidR="006B7138" w:rsidRDefault="006B7138">
      <w:pPr>
        <w:rPr>
          <w:b/>
          <w:sz w:val="20"/>
        </w:rPr>
      </w:pPr>
    </w:p>
    <w:p w:rsidR="006B7138" w:rsidRDefault="006B7138">
      <w:pPr>
        <w:rPr>
          <w:b/>
          <w:sz w:val="20"/>
        </w:rPr>
      </w:pPr>
    </w:p>
    <w:p w:rsidR="006B7138" w:rsidRDefault="002553E9">
      <w:pPr>
        <w:spacing w:before="2"/>
        <w:rPr>
          <w:b/>
          <w:sz w:val="19"/>
        </w:rPr>
      </w:pPr>
      <w:r>
        <w:rPr>
          <w:noProof/>
          <w:lang w:val="it-IT" w:eastAsia="it-IT"/>
        </w:rPr>
        <mc:AlternateContent>
          <mc:Choice Requires="wps">
            <w:drawing>
              <wp:anchor distT="0" distB="0" distL="0" distR="0" simplePos="0" relativeHeight="251658752" behindDoc="1" locked="0" layoutInCell="1" allowOverlap="1">
                <wp:simplePos x="0" y="0"/>
                <wp:positionH relativeFrom="page">
                  <wp:posOffset>4104005</wp:posOffset>
                </wp:positionH>
                <wp:positionV relativeFrom="paragraph">
                  <wp:posOffset>176530</wp:posOffset>
                </wp:positionV>
                <wp:extent cx="3060065" cy="0"/>
                <wp:effectExtent l="8255" t="5080" r="8255" b="1397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7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15pt,13.9pt" to="56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ER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" strokeweight=".57pt">
                <w10:wrap type="topAndBottom" anchorx="page"/>
              </v:line>
            </w:pict>
          </mc:Fallback>
        </mc:AlternateContent>
      </w: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rPr>
          <w:b/>
          <w:sz w:val="20"/>
        </w:rPr>
      </w:pPr>
    </w:p>
    <w:p w:rsidR="006B7138" w:rsidRDefault="006B7138">
      <w:pPr>
        <w:spacing w:before="12"/>
        <w:rPr>
          <w:b/>
          <w:sz w:val="16"/>
        </w:rPr>
      </w:pPr>
    </w:p>
    <w:p w:rsidR="006B7138" w:rsidRDefault="001112AC">
      <w:pPr>
        <w:spacing w:before="100"/>
        <w:ind w:left="1581"/>
        <w:rPr>
          <w:i/>
          <w:sz w:val="16"/>
        </w:rPr>
      </w:pPr>
      <w:r>
        <w:rPr>
          <w:noProof/>
          <w:lang w:val="it-IT" w:eastAsia="it-IT"/>
        </w:rPr>
        <w:drawing>
          <wp:anchor distT="0" distB="0" distL="0" distR="0" simplePos="0" relativeHeight="251657728" behindDoc="0" locked="0" layoutInCell="1" allowOverlap="1">
            <wp:simplePos x="0" y="0"/>
            <wp:positionH relativeFrom="page">
              <wp:posOffset>360045</wp:posOffset>
            </wp:positionH>
            <wp:positionV relativeFrom="paragraph">
              <wp:posOffset>45249</wp:posOffset>
            </wp:positionV>
            <wp:extent cx="782254" cy="66078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82254" cy="660781"/>
                    </a:xfrm>
                    <a:prstGeom prst="rect">
                      <a:avLst/>
                    </a:prstGeom>
                  </pic:spPr>
                </pic:pic>
              </a:graphicData>
            </a:graphic>
          </wp:anchor>
        </w:drawing>
      </w:r>
      <w:r>
        <w:rPr>
          <w:i/>
          <w:sz w:val="16"/>
        </w:rPr>
        <w:t>NOTE DI UTILIZZO</w:t>
      </w:r>
    </w:p>
    <w:p w:rsidR="006B7138" w:rsidRDefault="001112AC">
      <w:pPr>
        <w:spacing w:before="3" w:line="280" w:lineRule="atLeast"/>
        <w:ind w:left="1581" w:right="1002"/>
        <w:rPr>
          <w:i/>
          <w:sz w:val="16"/>
        </w:rPr>
      </w:pPr>
      <w:r>
        <w:rPr>
          <w:i/>
          <w:sz w:val="16"/>
        </w:rPr>
        <w:t>Le scelte prescrittive e le modifiche alla terapia sono state effettuate con il supporto di INTERCheck WEB®, uno strumento di revisione delle terapie realizzato dall'Istituto di Ricerche Farmacologiche</w:t>
      </w:r>
    </w:p>
    <w:p w:rsidR="006B7138" w:rsidRDefault="001112AC">
      <w:pPr>
        <w:pStyle w:val="Titolo1"/>
        <w:spacing w:before="0" w:line="124" w:lineRule="exact"/>
        <w:ind w:left="0" w:right="398"/>
        <w:jc w:val="right"/>
      </w:pPr>
      <w:r>
        <w:t>8</w:t>
      </w:r>
    </w:p>
    <w:p w:rsidR="006B7138" w:rsidRDefault="001112AC">
      <w:pPr>
        <w:spacing w:line="163" w:lineRule="exact"/>
        <w:ind w:left="1581"/>
        <w:rPr>
          <w:i/>
          <w:sz w:val="16"/>
        </w:rPr>
      </w:pPr>
      <w:r>
        <w:rPr>
          <w:i/>
          <w:sz w:val="16"/>
        </w:rPr>
        <w:t>"Mario Negri" con l'obiettivo di migliorare l'appropriatezza prescrittiva nel paziente anziano.</w:t>
      </w:r>
    </w:p>
    <w:sectPr w:rsidR="006B7138">
      <w:headerReference w:type="default" r:id="rId11"/>
      <w:footerReference w:type="default" r:id="rId12"/>
      <w:pgSz w:w="11910" w:h="16840"/>
      <w:pgMar w:top="800" w:right="280" w:bottom="0" w:left="460" w:header="5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A6" w:rsidRDefault="002142A6">
      <w:r>
        <w:separator/>
      </w:r>
    </w:p>
  </w:endnote>
  <w:endnote w:type="continuationSeparator" w:id="0">
    <w:p w:rsidR="002142A6" w:rsidRDefault="0021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38" w:rsidRDefault="002553E9">
    <w:pPr>
      <w:pStyle w:val="Corpotesto"/>
      <w:spacing w:line="14" w:lineRule="auto"/>
      <w:rPr>
        <w:b w:val="0"/>
        <w:sz w:val="20"/>
      </w:rPr>
    </w:pPr>
    <w:r>
      <w:rPr>
        <w:noProof/>
        <w:lang w:val="it-IT" w:eastAsia="it-IT"/>
      </w:rPr>
      <mc:AlternateContent>
        <mc:Choice Requires="wps">
          <w:drawing>
            <wp:anchor distT="0" distB="0" distL="114300" distR="114300" simplePos="0" relativeHeight="503278496" behindDoc="1" locked="0" layoutInCell="1" allowOverlap="1">
              <wp:simplePos x="0" y="0"/>
              <wp:positionH relativeFrom="page">
                <wp:posOffset>7030085</wp:posOffset>
              </wp:positionH>
              <wp:positionV relativeFrom="page">
                <wp:posOffset>10238740</wp:posOffset>
              </wp:positionV>
              <wp:extent cx="123825" cy="164465"/>
              <wp:effectExtent l="63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38" w:rsidRDefault="001112AC">
                          <w:pPr>
                            <w:spacing w:before="20"/>
                            <w:ind w:left="40"/>
                            <w:rPr>
                              <w:sz w:val="18"/>
                            </w:rPr>
                          </w:pPr>
                          <w:r>
                            <w:fldChar w:fldCharType="begin"/>
                          </w:r>
                          <w:r>
                            <w:rPr>
                              <w:sz w:val="18"/>
                            </w:rPr>
                            <w:instrText xml:space="preserve"> PAGE </w:instrText>
                          </w:r>
                          <w:r>
                            <w:fldChar w:fldCharType="separate"/>
                          </w:r>
                          <w:r w:rsidR="00833E28">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3.55pt;margin-top:806.2pt;width:9.75pt;height:12.95pt;z-index:-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Kkqw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" filled="f" stroked="f">
              <v:textbox inset="0,0,0,0">
                <w:txbxContent>
                  <w:p w:rsidR="006B7138" w:rsidRDefault="001112AC">
                    <w:pPr>
                      <w:spacing w:before="20"/>
                      <w:ind w:left="40"/>
                      <w:rPr>
                        <w:sz w:val="18"/>
                      </w:rPr>
                    </w:pPr>
                    <w:r>
                      <w:fldChar w:fldCharType="begin"/>
                    </w:r>
                    <w:r>
                      <w:rPr>
                        <w:sz w:val="18"/>
                      </w:rPr>
                      <w:instrText xml:space="preserve"> PAGE </w:instrText>
                    </w:r>
                    <w:r>
                      <w:fldChar w:fldCharType="separate"/>
                    </w:r>
                    <w:r w:rsidR="00833E28">
                      <w:rPr>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38" w:rsidRDefault="006B7138">
    <w:pPr>
      <w:pStyle w:val="Corpotesto"/>
      <w:spacing w:line="14" w:lineRule="auto"/>
      <w:rPr>
        <w:b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A6" w:rsidRDefault="002142A6">
      <w:r>
        <w:separator/>
      </w:r>
    </w:p>
  </w:footnote>
  <w:footnote w:type="continuationSeparator" w:id="0">
    <w:p w:rsidR="002142A6" w:rsidRDefault="0021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38" w:rsidRDefault="002553E9">
    <w:pPr>
      <w:pStyle w:val="Corpotesto"/>
      <w:spacing w:line="14" w:lineRule="auto"/>
      <w:rPr>
        <w:b w:val="0"/>
        <w:sz w:val="20"/>
      </w:rPr>
    </w:pPr>
    <w:r>
      <w:rPr>
        <w:noProof/>
        <w:lang w:val="it-IT" w:eastAsia="it-IT"/>
      </w:rPr>
      <mc:AlternateContent>
        <mc:Choice Requires="wps">
          <w:drawing>
            <wp:anchor distT="0" distB="0" distL="114300" distR="114300" simplePos="0" relativeHeight="503278520" behindDoc="1" locked="0" layoutInCell="1" allowOverlap="1">
              <wp:simplePos x="0" y="0"/>
              <wp:positionH relativeFrom="page">
                <wp:posOffset>3206750</wp:posOffset>
              </wp:positionH>
              <wp:positionV relativeFrom="page">
                <wp:posOffset>356870</wp:posOffset>
              </wp:positionV>
              <wp:extent cx="1147445" cy="164465"/>
              <wp:effectExtent l="0" t="444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38" w:rsidRDefault="001112AC">
                          <w:pPr>
                            <w:spacing w:before="20"/>
                            <w:ind w:left="20"/>
                            <w:rPr>
                              <w:sz w:val="18"/>
                            </w:rPr>
                          </w:pPr>
                          <w:r>
                            <w:rPr>
                              <w:sz w:val="18"/>
                            </w:rPr>
                            <w:t>INTERCheck® 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2.5pt;margin-top:28.1pt;width:90.35pt;height:12.95pt;z-index:-3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jKrwIAALA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" filled="f" stroked="f">
              <v:textbox inset="0,0,0,0">
                <w:txbxContent>
                  <w:p w:rsidR="006B7138" w:rsidRDefault="001112AC">
                    <w:pPr>
                      <w:spacing w:before="20"/>
                      <w:ind w:left="20"/>
                      <w:rPr>
                        <w:sz w:val="18"/>
                      </w:rPr>
                    </w:pPr>
                    <w:r>
                      <w:rPr>
                        <w:sz w:val="18"/>
                      </w:rPr>
                      <w:t>INTERCheck® WEB</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38" w:rsidRDefault="002553E9">
    <w:pPr>
      <w:pStyle w:val="Corpotesto"/>
      <w:spacing w:line="14" w:lineRule="auto"/>
      <w:rPr>
        <w:b w:val="0"/>
        <w:sz w:val="20"/>
      </w:rPr>
    </w:pPr>
    <w:r>
      <w:rPr>
        <w:noProof/>
        <w:lang w:val="it-IT" w:eastAsia="it-IT"/>
      </w:rPr>
      <mc:AlternateContent>
        <mc:Choice Requires="wps">
          <w:drawing>
            <wp:anchor distT="0" distB="0" distL="114300" distR="114300" simplePos="0" relativeHeight="503278544" behindDoc="1" locked="0" layoutInCell="1" allowOverlap="1">
              <wp:simplePos x="0" y="0"/>
              <wp:positionH relativeFrom="page">
                <wp:posOffset>3206750</wp:posOffset>
              </wp:positionH>
              <wp:positionV relativeFrom="page">
                <wp:posOffset>356870</wp:posOffset>
              </wp:positionV>
              <wp:extent cx="1147445" cy="164465"/>
              <wp:effectExtent l="0" t="444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38" w:rsidRDefault="001112AC">
                          <w:pPr>
                            <w:spacing w:before="20"/>
                            <w:ind w:left="20"/>
                            <w:rPr>
                              <w:sz w:val="18"/>
                            </w:rPr>
                          </w:pPr>
                          <w:r>
                            <w:rPr>
                              <w:sz w:val="18"/>
                            </w:rPr>
                            <w:t>INTERCheck® 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52.5pt;margin-top:28.1pt;width:90.35pt;height:12.95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" filled="f" stroked="f">
              <v:textbox inset="0,0,0,0">
                <w:txbxContent>
                  <w:p w:rsidR="006B7138" w:rsidRDefault="001112AC">
                    <w:pPr>
                      <w:spacing w:before="20"/>
                      <w:ind w:left="20"/>
                      <w:rPr>
                        <w:sz w:val="18"/>
                      </w:rPr>
                    </w:pPr>
                    <w:r>
                      <w:rPr>
                        <w:sz w:val="18"/>
                      </w:rPr>
                      <w:t>INTERCheck® WEB</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38"/>
    <w:rsid w:val="001112AC"/>
    <w:rsid w:val="002142A6"/>
    <w:rsid w:val="002553E9"/>
    <w:rsid w:val="006B7138"/>
    <w:rsid w:val="00833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before="20"/>
      <w:ind w:left="20"/>
      <w:outlineLvl w:val="0"/>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4"/>
      <w:ind w:left="54"/>
    </w:pPr>
  </w:style>
  <w:style w:type="paragraph" w:styleId="Testofumetto">
    <w:name w:val="Balloon Text"/>
    <w:basedOn w:val="Normale"/>
    <w:link w:val="TestofumettoCarattere"/>
    <w:uiPriority w:val="99"/>
    <w:semiHidden/>
    <w:unhideWhenUsed/>
    <w:rsid w:val="002553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53E9"/>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before="20"/>
      <w:ind w:left="20"/>
      <w:outlineLvl w:val="0"/>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4"/>
      <w:ind w:left="54"/>
    </w:pPr>
  </w:style>
  <w:style w:type="paragraph" w:styleId="Testofumetto">
    <w:name w:val="Balloon Text"/>
    <w:basedOn w:val="Normale"/>
    <w:link w:val="TestofumettoCarattere"/>
    <w:uiPriority w:val="99"/>
    <w:semiHidden/>
    <w:unhideWhenUsed/>
    <w:rsid w:val="002553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53E9"/>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15140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Cavicchi</dc:creator>
  <cp:lastModifiedBy>Angelo Cavicchi</cp:lastModifiedBy>
  <cp:revision>3</cp:revision>
  <dcterms:created xsi:type="dcterms:W3CDTF">2018-09-29T22:37:00Z</dcterms:created>
  <dcterms:modified xsi:type="dcterms:W3CDTF">2018-09-29T22:45:00Z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2018-09-30T00:00:00Z</vt:filetime>
  </property>
  <property fmtid="{D5CDD505-2E9C-101B-9397-08002B2CF9AE}" pid="3" name="LastSaved">
    <vt:filetime>2018-09-29T00:00:00Z</vt:filetime>
  </property>
</Properties>
</file>